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15" w:rsidRPr="00C930ED" w:rsidRDefault="00812A15" w:rsidP="00812A15">
      <w:pPr>
        <w:jc w:val="center"/>
        <w:rPr>
          <w:b/>
        </w:rPr>
      </w:pPr>
      <w:proofErr w:type="gramStart"/>
      <w:r w:rsidRPr="00C930ED">
        <w:rPr>
          <w:b/>
        </w:rPr>
        <w:t>Measles Outbreak – To Vaccinate or Not?</w:t>
      </w:r>
      <w:proofErr w:type="gramEnd"/>
    </w:p>
    <w:p w:rsidR="00812A15" w:rsidRDefault="00812A15" w:rsidP="00812A15">
      <w:pPr>
        <w:rPr>
          <w:b/>
        </w:rPr>
      </w:pPr>
    </w:p>
    <w:p w:rsidR="00812A15" w:rsidRPr="00A56893" w:rsidRDefault="00812A15" w:rsidP="00812A15">
      <w:pPr>
        <w:rPr>
          <w:b/>
        </w:rPr>
      </w:pPr>
      <w:r w:rsidRPr="00A56893">
        <w:rPr>
          <w:b/>
        </w:rPr>
        <w:t>Educational Standards</w:t>
      </w:r>
    </w:p>
    <w:p w:rsidR="00812A15" w:rsidRDefault="00812A15" w:rsidP="00812A15">
      <w:pPr>
        <w:pStyle w:val="ListParagraph"/>
        <w:numPr>
          <w:ilvl w:val="0"/>
          <w:numId w:val="1"/>
        </w:numPr>
      </w:pPr>
      <w:r>
        <w:t xml:space="preserve">Common Core </w:t>
      </w:r>
    </w:p>
    <w:p w:rsidR="00812A15" w:rsidRDefault="00812A15" w:rsidP="00812A15">
      <w:pPr>
        <w:pStyle w:val="ListParagraph"/>
        <w:numPr>
          <w:ilvl w:val="1"/>
          <w:numId w:val="1"/>
        </w:numPr>
      </w:pPr>
      <w:r>
        <w:t>Craft and Structure</w:t>
      </w:r>
    </w:p>
    <w:p w:rsidR="00812A15" w:rsidRDefault="00812A15" w:rsidP="00812A15">
      <w:pPr>
        <w:pStyle w:val="ListParagraph"/>
        <w:numPr>
          <w:ilvl w:val="2"/>
          <w:numId w:val="1"/>
        </w:numPr>
      </w:pPr>
      <w:r w:rsidRPr="00812A15">
        <w:t>RST.9-10.4</w:t>
      </w:r>
    </w:p>
    <w:p w:rsidR="00812A15" w:rsidRDefault="00812A15" w:rsidP="00812A15">
      <w:pPr>
        <w:pStyle w:val="ListParagraph"/>
        <w:numPr>
          <w:ilvl w:val="2"/>
          <w:numId w:val="1"/>
        </w:numPr>
      </w:pPr>
      <w:r w:rsidRPr="00812A15">
        <w:t>RST.11-12.4</w:t>
      </w:r>
    </w:p>
    <w:p w:rsidR="00812A15" w:rsidRDefault="00812A15" w:rsidP="00812A15">
      <w:pPr>
        <w:pStyle w:val="ListParagraph"/>
        <w:numPr>
          <w:ilvl w:val="2"/>
          <w:numId w:val="1"/>
        </w:numPr>
      </w:pPr>
      <w:r>
        <w:t>RST.11-12.5</w:t>
      </w:r>
    </w:p>
    <w:p w:rsidR="00812A15" w:rsidRDefault="00812A15" w:rsidP="00812A15">
      <w:pPr>
        <w:pStyle w:val="ListParagraph"/>
        <w:numPr>
          <w:ilvl w:val="1"/>
          <w:numId w:val="1"/>
        </w:numPr>
      </w:pPr>
      <w:r>
        <w:t>Integration of Knowledge and Ideas</w:t>
      </w:r>
    </w:p>
    <w:p w:rsidR="00812A15" w:rsidRDefault="00812A15" w:rsidP="00812A15">
      <w:pPr>
        <w:pStyle w:val="ListParagraph"/>
        <w:numPr>
          <w:ilvl w:val="2"/>
          <w:numId w:val="1"/>
        </w:numPr>
      </w:pPr>
      <w:r w:rsidRPr="00812A15">
        <w:t>RST.9-10.7</w:t>
      </w:r>
    </w:p>
    <w:p w:rsidR="00812A15" w:rsidRDefault="00812A15" w:rsidP="00812A15">
      <w:pPr>
        <w:pStyle w:val="ListParagraph"/>
        <w:numPr>
          <w:ilvl w:val="2"/>
          <w:numId w:val="1"/>
        </w:numPr>
      </w:pPr>
      <w:r w:rsidRPr="00B975B7">
        <w:t>RST.11-12.7</w:t>
      </w:r>
    </w:p>
    <w:p w:rsidR="00812A15" w:rsidRDefault="00812A15" w:rsidP="00812A15">
      <w:pPr>
        <w:pStyle w:val="ListParagraph"/>
        <w:numPr>
          <w:ilvl w:val="2"/>
          <w:numId w:val="1"/>
        </w:numPr>
      </w:pPr>
      <w:r w:rsidRPr="00B975B7">
        <w:t>RST.11-12.</w:t>
      </w:r>
      <w:r>
        <w:t>8</w:t>
      </w:r>
    </w:p>
    <w:p w:rsidR="00812A15" w:rsidRDefault="00812A15" w:rsidP="00812A15">
      <w:pPr>
        <w:pStyle w:val="ListParagraph"/>
        <w:numPr>
          <w:ilvl w:val="2"/>
          <w:numId w:val="1"/>
        </w:numPr>
      </w:pPr>
      <w:r w:rsidRPr="00B975B7">
        <w:t>RST.11-12.</w:t>
      </w:r>
      <w:r>
        <w:t>9</w:t>
      </w:r>
    </w:p>
    <w:p w:rsidR="00812A15" w:rsidRDefault="00812A15" w:rsidP="00812A15">
      <w:pPr>
        <w:pStyle w:val="ListParagraph"/>
        <w:numPr>
          <w:ilvl w:val="0"/>
          <w:numId w:val="1"/>
        </w:numPr>
      </w:pPr>
      <w:r>
        <w:t>Next Generation Science Standards</w:t>
      </w:r>
    </w:p>
    <w:p w:rsidR="00812A15" w:rsidRDefault="00812A15" w:rsidP="00812A15">
      <w:pPr>
        <w:pStyle w:val="ListParagraph"/>
        <w:numPr>
          <w:ilvl w:val="1"/>
          <w:numId w:val="1"/>
        </w:numPr>
      </w:pPr>
      <w:r>
        <w:t>Practices</w:t>
      </w:r>
    </w:p>
    <w:p w:rsidR="00812A15" w:rsidRPr="00812A15" w:rsidRDefault="00812A15" w:rsidP="00812A15">
      <w:pPr>
        <w:pStyle w:val="ListParagraph"/>
        <w:numPr>
          <w:ilvl w:val="2"/>
          <w:numId w:val="1"/>
        </w:numPr>
      </w:pPr>
      <w:r w:rsidRPr="00812A15">
        <w:rPr>
          <w:rFonts w:cs="Times New Roman"/>
        </w:rPr>
        <w:t>4. Analyzing and interpreting data</w:t>
      </w:r>
      <w:r>
        <w:rPr>
          <w:rFonts w:cs="Times New Roman"/>
        </w:rPr>
        <w:t xml:space="preserve"> </w:t>
      </w:r>
    </w:p>
    <w:p w:rsidR="00812A15" w:rsidRPr="00812A15" w:rsidRDefault="00812A15" w:rsidP="00812A15">
      <w:pPr>
        <w:pStyle w:val="ListParagraph"/>
        <w:numPr>
          <w:ilvl w:val="2"/>
          <w:numId w:val="1"/>
        </w:numPr>
      </w:pPr>
      <w:r w:rsidRPr="00812A15">
        <w:rPr>
          <w:rFonts w:cs="Times New Roman"/>
        </w:rPr>
        <w:t xml:space="preserve">6. Constructing explanations (for science) </w:t>
      </w:r>
    </w:p>
    <w:p w:rsidR="00812A15" w:rsidRDefault="00812A15" w:rsidP="00812A15">
      <w:pPr>
        <w:pStyle w:val="ListParagraph"/>
        <w:numPr>
          <w:ilvl w:val="1"/>
          <w:numId w:val="1"/>
        </w:numPr>
      </w:pPr>
      <w:r>
        <w:t>Crosscutting Concepts</w:t>
      </w:r>
    </w:p>
    <w:p w:rsidR="00812A15" w:rsidRPr="00661A54" w:rsidRDefault="00812A15" w:rsidP="00812A15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1. Patterns</w:t>
      </w:r>
    </w:p>
    <w:p w:rsidR="00812A15" w:rsidRPr="00812A15" w:rsidRDefault="00812A15" w:rsidP="00812A15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2</w:t>
      </w:r>
      <w:r w:rsidRPr="00014640">
        <w:rPr>
          <w:rFonts w:eastAsia="Times New Roman" w:cs="Times New Roman"/>
        </w:rPr>
        <w:t xml:space="preserve">. </w:t>
      </w:r>
      <w:r w:rsidRPr="00812A15">
        <w:rPr>
          <w:rFonts w:eastAsia="Times New Roman" w:cs="Times New Roman"/>
          <w:iCs/>
        </w:rPr>
        <w:t>Cause and effect: Mechanism and explanation</w:t>
      </w:r>
    </w:p>
    <w:p w:rsidR="00812A15" w:rsidRPr="00014640" w:rsidRDefault="00812A15" w:rsidP="00812A15">
      <w:pPr>
        <w:pStyle w:val="ListParagraph"/>
        <w:numPr>
          <w:ilvl w:val="2"/>
          <w:numId w:val="1"/>
        </w:numPr>
      </w:pPr>
      <w:r w:rsidRPr="00812A15">
        <w:t>4. Systems and system models</w:t>
      </w:r>
    </w:p>
    <w:p w:rsidR="00812A15" w:rsidRDefault="00812A15" w:rsidP="00812A15">
      <w:pPr>
        <w:pStyle w:val="ListParagraph"/>
        <w:numPr>
          <w:ilvl w:val="1"/>
          <w:numId w:val="1"/>
        </w:numPr>
      </w:pPr>
      <w:r>
        <w:t>Disciplinary Core Ideas</w:t>
      </w:r>
    </w:p>
    <w:p w:rsidR="00812A15" w:rsidRPr="00812A15" w:rsidRDefault="00812A15" w:rsidP="00812A15">
      <w:pPr>
        <w:pStyle w:val="ListParagraph"/>
        <w:numPr>
          <w:ilvl w:val="2"/>
          <w:numId w:val="1"/>
        </w:numPr>
      </w:pPr>
      <w:r w:rsidRPr="00812A15">
        <w:rPr>
          <w:rFonts w:cs="Times New Roman"/>
        </w:rPr>
        <w:t>LS4.B: Natural Selection</w:t>
      </w:r>
    </w:p>
    <w:p w:rsidR="00812A15" w:rsidRPr="00812A15" w:rsidRDefault="00812A15" w:rsidP="00812A15">
      <w:pPr>
        <w:pStyle w:val="ListParagraph"/>
        <w:numPr>
          <w:ilvl w:val="2"/>
          <w:numId w:val="1"/>
        </w:numPr>
      </w:pPr>
      <w:r w:rsidRPr="00812A15">
        <w:rPr>
          <w:rFonts w:cs="Times New Roman"/>
        </w:rPr>
        <w:t>LS4.C: Adaptation</w:t>
      </w:r>
    </w:p>
    <w:p w:rsidR="00812A15" w:rsidRPr="00812A15" w:rsidRDefault="00812A15" w:rsidP="00812A15">
      <w:pPr>
        <w:pStyle w:val="ListParagraph"/>
        <w:numPr>
          <w:ilvl w:val="2"/>
          <w:numId w:val="1"/>
        </w:numPr>
      </w:pPr>
      <w:r w:rsidRPr="00812A15">
        <w:rPr>
          <w:rFonts w:cs="Times New Roman"/>
        </w:rPr>
        <w:t>LS4.D: Biodiversity and Humans</w:t>
      </w:r>
    </w:p>
    <w:p w:rsidR="00812A15" w:rsidRPr="000613AF" w:rsidRDefault="00812A15" w:rsidP="00812A15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 xml:space="preserve">Advanced Placement Biology - </w:t>
      </w:r>
      <w:r>
        <w:t xml:space="preserve">Essential Knowledge (EK), </w:t>
      </w:r>
      <w:r>
        <w:rPr>
          <w:rFonts w:eastAsia="Times New Roman" w:cs="Times New Roman"/>
        </w:rPr>
        <w:t>Learning Objectives (LO), Science Practices (SP)</w:t>
      </w:r>
    </w:p>
    <w:p w:rsidR="00812A15" w:rsidRDefault="00812A15" w:rsidP="00812A15">
      <w:pPr>
        <w:pStyle w:val="ListParagraph"/>
        <w:numPr>
          <w:ilvl w:val="1"/>
          <w:numId w:val="1"/>
        </w:numPr>
      </w:pPr>
      <w:r>
        <w:t xml:space="preserve">EK 4.A.5 </w:t>
      </w:r>
    </w:p>
    <w:p w:rsidR="00812A15" w:rsidRDefault="00812A15" w:rsidP="00812A15">
      <w:pPr>
        <w:pStyle w:val="ListParagraph"/>
        <w:numPr>
          <w:ilvl w:val="2"/>
          <w:numId w:val="1"/>
        </w:numPr>
      </w:pPr>
      <w:r>
        <w:t>LO 4.</w:t>
      </w:r>
      <w:r w:rsidR="00AD5334">
        <w:t>11</w:t>
      </w:r>
      <w:r>
        <w:t>, SP 1.</w:t>
      </w:r>
      <w:r w:rsidR="00AD5334">
        <w:t>4, 4.1</w:t>
      </w:r>
    </w:p>
    <w:p w:rsidR="00812A15" w:rsidRDefault="00812A15" w:rsidP="00AD5334">
      <w:pPr>
        <w:pStyle w:val="ListParagraph"/>
        <w:numPr>
          <w:ilvl w:val="2"/>
          <w:numId w:val="1"/>
        </w:numPr>
      </w:pPr>
      <w:r>
        <w:t>LO 4.</w:t>
      </w:r>
      <w:r w:rsidR="00AD5334">
        <w:t>1</w:t>
      </w:r>
      <w:r>
        <w:t>3, SP 6.4</w:t>
      </w:r>
    </w:p>
    <w:p w:rsidR="00812A15" w:rsidRPr="00661A54" w:rsidRDefault="00812A15" w:rsidP="00812A15">
      <w:pPr>
        <w:jc w:val="both"/>
        <w:rPr>
          <w:b/>
        </w:rPr>
      </w:pPr>
      <w:r w:rsidRPr="00661A54">
        <w:rPr>
          <w:b/>
        </w:rPr>
        <w:t>Teaching Notes</w:t>
      </w:r>
    </w:p>
    <w:p w:rsidR="00166063" w:rsidRDefault="00AD5334" w:rsidP="00AD5334">
      <w:pPr>
        <w:ind w:firstLine="720"/>
      </w:pPr>
      <w:r>
        <w:t>Each time the</w:t>
      </w:r>
      <w:r w:rsidR="00812A15">
        <w:t xml:space="preserve"> </w:t>
      </w:r>
      <w:r>
        <w:t xml:space="preserve">simulation is run, it yields different results regarding the communities that are protected </w:t>
      </w:r>
      <w:r w:rsidR="006F774A">
        <w:t>versus</w:t>
      </w:r>
      <w:r>
        <w:t xml:space="preserve"> those that are not. There are some key points that the students should take away from viewing this simulation and reading the accompanying article.</w:t>
      </w:r>
    </w:p>
    <w:p w:rsidR="00CF0C12" w:rsidRDefault="00CF0C12" w:rsidP="00AD5334">
      <w:pPr>
        <w:pStyle w:val="ListParagraph"/>
        <w:numPr>
          <w:ilvl w:val="0"/>
          <w:numId w:val="2"/>
        </w:numPr>
      </w:pPr>
      <w:r>
        <w:t xml:space="preserve">Only the populations with the highest percentage of vaccination are consistently protected from the measles infection. </w:t>
      </w:r>
    </w:p>
    <w:p w:rsidR="00AD5334" w:rsidRDefault="00AD5334" w:rsidP="00CF0C12">
      <w:pPr>
        <w:pStyle w:val="ListParagraph"/>
        <w:numPr>
          <w:ilvl w:val="0"/>
          <w:numId w:val="2"/>
        </w:numPr>
      </w:pPr>
      <w:r>
        <w:t xml:space="preserve">Herd immunity </w:t>
      </w:r>
      <w:r w:rsidR="006F774A">
        <w:t xml:space="preserve">is essential as it helps </w:t>
      </w:r>
      <w:r>
        <w:t>protect immune-compromised individuals (such as very young children, elderly individuals, individuals undergoing cancer treatment etc.) from getting sick.</w:t>
      </w:r>
      <w:r w:rsidR="006F774A">
        <w:t xml:space="preserve">  </w:t>
      </w:r>
    </w:p>
    <w:p w:rsidR="00AD5334" w:rsidRDefault="00CB30E4" w:rsidP="00AD5334">
      <w:pPr>
        <w:pStyle w:val="ListParagraph"/>
        <w:numPr>
          <w:ilvl w:val="0"/>
          <w:numId w:val="2"/>
        </w:numPr>
      </w:pPr>
      <w:r>
        <w:t>Sometimes vaccinated individuals may not be protected (though this happens at a very low rate). To further reduce chances of vaccination failure</w:t>
      </w:r>
      <w:r w:rsidR="00FA2523">
        <w:t>,</w:t>
      </w:r>
      <w:r>
        <w:t xml:space="preserve"> two doses of </w:t>
      </w:r>
      <w:r w:rsidR="00FA2523">
        <w:t xml:space="preserve">a </w:t>
      </w:r>
      <w:r>
        <w:t xml:space="preserve">vaccine may be administered after a suitable interval. </w:t>
      </w:r>
    </w:p>
    <w:p w:rsidR="00CB30E4" w:rsidRDefault="00CB30E4" w:rsidP="00AD5334">
      <w:pPr>
        <w:pStyle w:val="ListParagraph"/>
        <w:numPr>
          <w:ilvl w:val="0"/>
          <w:numId w:val="2"/>
        </w:numPr>
      </w:pPr>
      <w:r>
        <w:t>Learn more about vaccines in general and the measles vaccine specifically using resources listed in the curricular module at RCSB PDB.</w:t>
      </w:r>
    </w:p>
    <w:p w:rsidR="00CB30E4" w:rsidRDefault="00CB30E4" w:rsidP="00CB30E4"/>
    <w:p w:rsidR="00CB30E4" w:rsidRDefault="00CB30E4">
      <w:r>
        <w:br w:type="page"/>
      </w:r>
    </w:p>
    <w:p w:rsidR="00CB30E4" w:rsidRPr="006A751E" w:rsidRDefault="00CB30E4" w:rsidP="00CB30E4">
      <w:pPr>
        <w:rPr>
          <w:b/>
        </w:rPr>
      </w:pPr>
      <w:r w:rsidRPr="006A751E">
        <w:rPr>
          <w:b/>
        </w:rPr>
        <w:lastRenderedPageBreak/>
        <w:t>Key to “Protected or Not?”</w:t>
      </w:r>
    </w:p>
    <w:p w:rsidR="00CB30E4" w:rsidRDefault="00CB30E4" w:rsidP="00CB30E4"/>
    <w:p w:rsidR="00CB30E4" w:rsidRDefault="00CB30E4" w:rsidP="00CB30E4">
      <w:r>
        <w:t>Based on the simulations at (</w:t>
      </w:r>
      <w:hyperlink r:id="rId8" w:history="1">
        <w:r w:rsidRPr="002C18EC">
          <w:rPr>
            <w:rStyle w:val="Hyperlink"/>
          </w:rPr>
          <w:t>http://www.theguardian.com/society/ng-interactive/2015/feb/05/-sp-watch-how-measles-outbreak-spreads-when-kids-get-vaccinated</w:t>
        </w:r>
      </w:hyperlink>
      <w:r>
        <w:t>)</w:t>
      </w:r>
      <w:r w:rsidR="001C15FC">
        <w:t xml:space="preserve"> the following answers were written. Note</w:t>
      </w:r>
      <w:r w:rsidR="00FA2523">
        <w:t xml:space="preserve">:  </w:t>
      </w:r>
      <w:r w:rsidR="001C15FC">
        <w:t xml:space="preserve"> the simulation results will vary</w:t>
      </w:r>
      <w:r w:rsidR="00FA2523">
        <w:t>;</w:t>
      </w:r>
      <w:r w:rsidR="001C15FC">
        <w:t xml:space="preserve"> please make necessary adjustments to the responses reported by students</w:t>
      </w:r>
      <w:r w:rsidR="00FA2523">
        <w:t>.</w:t>
      </w:r>
    </w:p>
    <w:p w:rsidR="001C15FC" w:rsidRDefault="001C15FC" w:rsidP="00CB30E4"/>
    <w:p w:rsidR="001C15FC" w:rsidRDefault="001C15FC" w:rsidP="001C15FC">
      <w:pPr>
        <w:pStyle w:val="ListParagraph"/>
        <w:numPr>
          <w:ilvl w:val="0"/>
          <w:numId w:val="3"/>
        </w:numPr>
      </w:pPr>
      <w:r>
        <w:t>2 communities (out of 10) were protected</w:t>
      </w:r>
    </w:p>
    <w:p w:rsidR="001C15FC" w:rsidRDefault="001C15FC" w:rsidP="001C15FC">
      <w:pPr>
        <w:pStyle w:val="ListParagraph"/>
        <w:numPr>
          <w:ilvl w:val="0"/>
          <w:numId w:val="3"/>
        </w:numPr>
      </w:pPr>
      <w:r>
        <w:t>The percentage of vaccination in the protected communities was 90% and 99.7%</w:t>
      </w:r>
    </w:p>
    <w:p w:rsidR="001C15FC" w:rsidRDefault="001C15FC" w:rsidP="001C15FC">
      <w:pPr>
        <w:pStyle w:val="ListParagraph"/>
        <w:numPr>
          <w:ilvl w:val="0"/>
          <w:numId w:val="3"/>
        </w:numPr>
      </w:pPr>
      <w:r>
        <w:t>No, this time 5 (out of 10) communities were protected</w:t>
      </w:r>
    </w:p>
    <w:p w:rsidR="001C15FC" w:rsidRDefault="001C15FC" w:rsidP="001C15FC">
      <w:pPr>
        <w:pStyle w:val="ListParagraph"/>
        <w:numPr>
          <w:ilvl w:val="0"/>
          <w:numId w:val="3"/>
        </w:numPr>
      </w:pPr>
      <w:r>
        <w:t xml:space="preserve">Communities with higher </w:t>
      </w:r>
      <w:r w:rsidR="00FA2523">
        <w:t xml:space="preserve">percentages </w:t>
      </w:r>
      <w:r>
        <w:t>of vaccination were protected in the three trials of simulation. Note</w:t>
      </w:r>
      <w:r w:rsidR="00FA2523">
        <w:t xml:space="preserve">: </w:t>
      </w:r>
      <w:r>
        <w:t xml:space="preserve"> sometimes the simulation may show that the 74.4% </w:t>
      </w:r>
      <w:proofErr w:type="spellStart"/>
      <w:r>
        <w:t>vax</w:t>
      </w:r>
      <w:proofErr w:type="spellEnd"/>
      <w:r>
        <w:t xml:space="preserve"> rate population is </w:t>
      </w:r>
      <w:r w:rsidR="00FA2523">
        <w:t>protected;</w:t>
      </w:r>
      <w:r>
        <w:t xml:space="preserve"> yet the 83.8% and 86.0% </w:t>
      </w:r>
      <w:proofErr w:type="spellStart"/>
      <w:r>
        <w:t>vax</w:t>
      </w:r>
      <w:proofErr w:type="spellEnd"/>
      <w:r>
        <w:t xml:space="preserve"> rate communities are not. </w:t>
      </w:r>
    </w:p>
    <w:p w:rsidR="001C15FC" w:rsidRDefault="001C15FC" w:rsidP="001C15FC">
      <w:pPr>
        <w:pStyle w:val="ListParagraph"/>
        <w:numPr>
          <w:ilvl w:val="0"/>
          <w:numId w:val="3"/>
        </w:numPr>
      </w:pPr>
      <w:r>
        <w:t xml:space="preserve">Herd immunity is the protection that a community has against a disease based on the vaccination of </w:t>
      </w:r>
      <w:r w:rsidR="00FA2523">
        <w:t xml:space="preserve">most </w:t>
      </w:r>
      <w:r>
        <w:t>of its members – i.e. even without all individuals being vaccinated the entire community is protected against infection.</w:t>
      </w:r>
    </w:p>
    <w:p w:rsidR="001C15FC" w:rsidRDefault="001C15FC" w:rsidP="001C15FC">
      <w:pPr>
        <w:pStyle w:val="ListParagraph"/>
        <w:numPr>
          <w:ilvl w:val="0"/>
          <w:numId w:val="3"/>
        </w:numPr>
      </w:pPr>
      <w:r>
        <w:t>Vaccines protect the individual being vaccinated as well as other community members</w:t>
      </w:r>
      <w:r w:rsidR="006A751E">
        <w:t xml:space="preserve">. The simulation illustrates this claim. </w:t>
      </w:r>
      <w:r w:rsidR="00FA2523">
        <w:t xml:space="preserve"> </w:t>
      </w:r>
      <w:r w:rsidR="006A751E">
        <w:t xml:space="preserve">Also in the accompanying text, a quotation from </w:t>
      </w:r>
      <w:r w:rsidR="006A751E">
        <w:rPr>
          <w:rFonts w:eastAsia="Times New Roman" w:cs="Times New Roman"/>
        </w:rPr>
        <w:t>Dr</w:t>
      </w:r>
      <w:r w:rsidR="00FA2523">
        <w:rPr>
          <w:rFonts w:eastAsia="Times New Roman" w:cs="Times New Roman"/>
        </w:rPr>
        <w:t>.</w:t>
      </w:r>
      <w:r w:rsidR="006A751E">
        <w:rPr>
          <w:rFonts w:eastAsia="Times New Roman" w:cs="Times New Roman"/>
        </w:rPr>
        <w:t xml:space="preserve"> Elizabeth Edwards, professor of pediatrics and director of the Vanderbilt Vaccine Research Program</w:t>
      </w:r>
      <w:r w:rsidR="00065026">
        <w:rPr>
          <w:rFonts w:eastAsia="Times New Roman" w:cs="Times New Roman"/>
        </w:rPr>
        <w:t>,</w:t>
      </w:r>
      <w:r w:rsidR="006A751E">
        <w:rPr>
          <w:rFonts w:eastAsia="Times New Roman" w:cs="Times New Roman"/>
        </w:rPr>
        <w:t xml:space="preserve"> </w:t>
      </w:r>
      <w:r w:rsidR="00FA2523">
        <w:rPr>
          <w:rFonts w:eastAsia="Times New Roman" w:cs="Times New Roman"/>
        </w:rPr>
        <w:t xml:space="preserve">states </w:t>
      </w:r>
      <w:r w:rsidR="006A751E">
        <w:rPr>
          <w:rFonts w:eastAsia="Times New Roman" w:cs="Times New Roman"/>
        </w:rPr>
        <w:t>the same.</w:t>
      </w:r>
      <w:bookmarkStart w:id="0" w:name="_GoBack"/>
      <w:bookmarkEnd w:id="0"/>
    </w:p>
    <w:sectPr w:rsidR="001C15FC" w:rsidSect="00812A15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23" w:rsidRDefault="00FA2523" w:rsidP="00812A15">
      <w:r>
        <w:separator/>
      </w:r>
    </w:p>
  </w:endnote>
  <w:endnote w:type="continuationSeparator" w:id="0">
    <w:p w:rsidR="00FA2523" w:rsidRDefault="00FA2523" w:rsidP="0081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23" w:rsidRPr="00B73DFD" w:rsidRDefault="00FA2523" w:rsidP="00812A15">
    <w:pPr>
      <w:tabs>
        <w:tab w:val="center" w:pos="4320"/>
        <w:tab w:val="right" w:pos="8640"/>
      </w:tabs>
      <w:spacing w:line="360" w:lineRule="auto"/>
      <w:jc w:val="center"/>
      <w:rPr>
        <w:rFonts w:ascii="Cambria" w:eastAsia="ＭＳ 明朝" w:hAnsi="Cambria" w:cs="Times New Roman"/>
        <w:sz w:val="16"/>
        <w:szCs w:val="16"/>
      </w:rPr>
    </w:pPr>
    <w:r w:rsidRPr="00B73DFD">
      <w:rPr>
        <w:rFonts w:ascii="Cambria" w:eastAsia="ＭＳ 明朝" w:hAnsi="Cambria" w:cs="Times New Roman"/>
        <w:noProof/>
        <w:sz w:val="16"/>
        <w:szCs w:val="16"/>
      </w:rPr>
      <w:drawing>
        <wp:inline distT="0" distB="0" distL="0" distR="0" wp14:anchorId="0A2C987D" wp14:editId="6BE2B71B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523" w:rsidRDefault="00FA2523" w:rsidP="00812A15">
    <w:pPr>
      <w:pStyle w:val="Footer"/>
      <w:jc w:val="center"/>
    </w:pPr>
    <w:r w:rsidRPr="00B73DFD">
      <w:rPr>
        <w:rFonts w:ascii="Cambria" w:eastAsia="ＭＳ 明朝" w:hAnsi="Cambria" w:cs="Times New Roman"/>
        <w:color w:val="6B96B7"/>
        <w:sz w:val="16"/>
        <w:szCs w:val="16"/>
      </w:rPr>
      <w:t>Developed as part of the RCSB Collaborative Curriculum Development Program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23" w:rsidRDefault="00FA2523" w:rsidP="00812A15">
      <w:r>
        <w:separator/>
      </w:r>
    </w:p>
  </w:footnote>
  <w:footnote w:type="continuationSeparator" w:id="0">
    <w:p w:rsidR="00FA2523" w:rsidRDefault="00FA2523" w:rsidP="00812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26" w:rsidRDefault="00065026" w:rsidP="00065026">
    <w:pPr>
      <w:pStyle w:val="Header"/>
      <w:jc w:val="right"/>
    </w:pPr>
    <w:r>
      <w:t>Teaching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3E"/>
    <w:multiLevelType w:val="hybridMultilevel"/>
    <w:tmpl w:val="0B20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D82"/>
    <w:multiLevelType w:val="hybridMultilevel"/>
    <w:tmpl w:val="D494E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D2942"/>
    <w:multiLevelType w:val="hybridMultilevel"/>
    <w:tmpl w:val="7954F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15"/>
    <w:rsid w:val="00065026"/>
    <w:rsid w:val="00166063"/>
    <w:rsid w:val="001C15FC"/>
    <w:rsid w:val="00450888"/>
    <w:rsid w:val="006A751E"/>
    <w:rsid w:val="006F774A"/>
    <w:rsid w:val="00812A15"/>
    <w:rsid w:val="00AD5334"/>
    <w:rsid w:val="00BC54B5"/>
    <w:rsid w:val="00CB30E4"/>
    <w:rsid w:val="00CF0C12"/>
    <w:rsid w:val="00F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15"/>
  </w:style>
  <w:style w:type="paragraph" w:styleId="Footer">
    <w:name w:val="footer"/>
    <w:basedOn w:val="Normal"/>
    <w:link w:val="FooterChar"/>
    <w:uiPriority w:val="99"/>
    <w:unhideWhenUsed/>
    <w:rsid w:val="00812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15"/>
  </w:style>
  <w:style w:type="paragraph" w:styleId="BalloonText">
    <w:name w:val="Balloon Text"/>
    <w:basedOn w:val="Normal"/>
    <w:link w:val="BalloonTextChar"/>
    <w:uiPriority w:val="99"/>
    <w:semiHidden/>
    <w:unhideWhenUsed/>
    <w:rsid w:val="0081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15"/>
    <w:rPr>
      <w:rFonts w:ascii="Lucida Grande" w:hAnsi="Lucida Grande" w:cs="Lucida Grande"/>
      <w:sz w:val="18"/>
      <w:szCs w:val="18"/>
    </w:rPr>
  </w:style>
  <w:style w:type="paragraph" w:customStyle="1" w:styleId="txa">
    <w:name w:val="txa"/>
    <w:basedOn w:val="Normal"/>
    <w:rsid w:val="00812A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angolb">
    <w:name w:val="hangolb"/>
    <w:basedOn w:val="Normal"/>
    <w:rsid w:val="00812A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3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15"/>
  </w:style>
  <w:style w:type="paragraph" w:styleId="Footer">
    <w:name w:val="footer"/>
    <w:basedOn w:val="Normal"/>
    <w:link w:val="FooterChar"/>
    <w:uiPriority w:val="99"/>
    <w:unhideWhenUsed/>
    <w:rsid w:val="00812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15"/>
  </w:style>
  <w:style w:type="paragraph" w:styleId="BalloonText">
    <w:name w:val="Balloon Text"/>
    <w:basedOn w:val="Normal"/>
    <w:link w:val="BalloonTextChar"/>
    <w:uiPriority w:val="99"/>
    <w:semiHidden/>
    <w:unhideWhenUsed/>
    <w:rsid w:val="0081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15"/>
    <w:rPr>
      <w:rFonts w:ascii="Lucida Grande" w:hAnsi="Lucida Grande" w:cs="Lucida Grande"/>
      <w:sz w:val="18"/>
      <w:szCs w:val="18"/>
    </w:rPr>
  </w:style>
  <w:style w:type="paragraph" w:customStyle="1" w:styleId="txa">
    <w:name w:val="txa"/>
    <w:basedOn w:val="Normal"/>
    <w:rsid w:val="00812A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angolb">
    <w:name w:val="hangolb"/>
    <w:basedOn w:val="Normal"/>
    <w:rsid w:val="00812A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guardian.com/society/ng-interactive/2015/feb/05/-sp-watch-how-measles-outbreak-spreads-when-kids-get-vaccinate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2603</Characters>
  <Application>Microsoft Macintosh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Shuchi Dutta</cp:lastModifiedBy>
  <cp:revision>2</cp:revision>
  <dcterms:created xsi:type="dcterms:W3CDTF">2015-10-21T11:29:00Z</dcterms:created>
  <dcterms:modified xsi:type="dcterms:W3CDTF">2015-10-21T11:29:00Z</dcterms:modified>
</cp:coreProperties>
</file>