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jc w:val="center"/>
        <w:rPr/>
      </w:pPr>
      <w:bookmarkStart w:colFirst="0" w:colLast="0" w:name="_heading=h.gjdgxs" w:id="0"/>
      <w:bookmarkEnd w:id="0"/>
      <w:r w:rsidDel="00000000" w:rsidR="00000000" w:rsidRPr="00000000">
        <w:rPr>
          <w:rtl w:val="0"/>
        </w:rPr>
        <w:t xml:space="preserve">Exploring Monosaccharides</w:t>
      </w:r>
    </w:p>
    <w:p w:rsidR="00000000" w:rsidDel="00000000" w:rsidP="00000000" w:rsidRDefault="00000000" w:rsidRPr="00000000" w14:paraId="00000002">
      <w:pPr>
        <w:spacing w:line="240" w:lineRule="auto"/>
        <w:rPr/>
      </w:pPr>
      <w:r w:rsidDel="00000000" w:rsidR="00000000" w:rsidRPr="00000000">
        <w:rPr>
          <w:b w:val="1"/>
          <w:rtl w:val="0"/>
        </w:rPr>
        <w:t xml:space="preserve">Authors</w:t>
      </w:r>
      <w:r w:rsidDel="00000000" w:rsidR="00000000" w:rsidRPr="00000000">
        <w:rPr>
          <w:rtl w:val="0"/>
        </w:rPr>
        <w:t xml:space="preserve">: Shuchismita Dutta, Rutgers University, NJ</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spacing w:line="240" w:lineRule="auto"/>
        <w:rPr/>
      </w:pPr>
      <w:r w:rsidDel="00000000" w:rsidR="00000000" w:rsidRPr="00000000">
        <w:rPr>
          <w:b w:val="1"/>
          <w:rtl w:val="0"/>
        </w:rPr>
        <w:t xml:space="preserve">Lesson Overview</w:t>
      </w:r>
      <w:r w:rsidDel="00000000" w:rsidR="00000000" w:rsidRPr="00000000">
        <w:rPr>
          <w:rtl w:val="0"/>
        </w:rPr>
        <w:t xml:space="preserve">: </w:t>
      </w:r>
    </w:p>
    <w:p w:rsidR="00000000" w:rsidDel="00000000" w:rsidP="00000000" w:rsidRDefault="00000000" w:rsidRPr="00000000" w14:paraId="00000005">
      <w:pPr>
        <w:spacing w:line="240" w:lineRule="auto"/>
        <w:rPr>
          <w:rFonts w:ascii="Calibri" w:cs="Calibri" w:eastAsia="Calibri" w:hAnsi="Calibri"/>
          <w:sz w:val="24"/>
          <w:szCs w:val="24"/>
        </w:rPr>
      </w:pPr>
      <w:r w:rsidDel="00000000" w:rsidR="00000000" w:rsidRPr="00000000">
        <w:rPr>
          <w:rtl w:val="0"/>
        </w:rPr>
        <w:t xml:space="preserve">This lesson reviews monosaccharides (the building blocks of oligosaccharides, polysaccharides and other carbohydrates). </w:t>
      </w:r>
      <w:r w:rsidDel="00000000" w:rsidR="00000000" w:rsidRPr="00000000">
        <w:rPr>
          <w:rtl w:val="0"/>
        </w:rPr>
      </w:r>
    </w:p>
    <w:p w:rsidR="00000000" w:rsidDel="00000000" w:rsidP="00000000" w:rsidRDefault="00000000" w:rsidRPr="00000000" w14:paraId="00000006">
      <w:pPr>
        <w:spacing w:line="240" w:lineRule="auto"/>
        <w:rPr/>
      </w:pPr>
      <w:r w:rsidDel="00000000" w:rsidR="00000000" w:rsidRPr="00000000">
        <w:rPr>
          <w:rtl w:val="0"/>
        </w:rPr>
      </w:r>
    </w:p>
    <w:p w:rsidR="00000000" w:rsidDel="00000000" w:rsidP="00000000" w:rsidRDefault="00000000" w:rsidRPr="00000000" w14:paraId="00000007">
      <w:pPr>
        <w:spacing w:line="240" w:lineRule="auto"/>
        <w:rPr>
          <w:rFonts w:ascii="Calibri" w:cs="Calibri" w:eastAsia="Calibri" w:hAnsi="Calibri"/>
          <w:sz w:val="24"/>
          <w:szCs w:val="24"/>
        </w:rPr>
      </w:pPr>
      <w:r w:rsidDel="00000000" w:rsidR="00000000" w:rsidRPr="00000000">
        <w:rPr>
          <w:b w:val="1"/>
          <w:rtl w:val="0"/>
        </w:rPr>
        <w:t xml:space="preserve">ASBMB Learning Objectives</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w:t>
      </w:r>
      <w:hyperlink r:id="rId7">
        <w:r w:rsidDel="00000000" w:rsidR="00000000" w:rsidRPr="00000000">
          <w:rPr>
            <w:color w:val="1155cc"/>
            <w:u w:val="single"/>
            <w:rtl w:val="0"/>
          </w:rPr>
          <w:t xml:space="preserve">https://www.asbmb.org/education/core-concept-teaching-strategies/foundational-concepts/structure-function</w:t>
        </w:r>
      </w:hyperlink>
      <w:r w:rsidDel="00000000" w:rsidR="00000000" w:rsidRPr="00000000">
        <w:rPr>
          <w:rtl w:val="0"/>
        </w:rPr>
        <w:t xml:space="preserve">) </w:t>
      </w:r>
    </w:p>
    <w:p w:rsidR="00000000" w:rsidDel="00000000" w:rsidP="00000000" w:rsidRDefault="00000000" w:rsidRPr="00000000" w14:paraId="00000009">
      <w:pPr>
        <w:rPr/>
      </w:pPr>
      <w:r w:rsidDel="00000000" w:rsidR="00000000" w:rsidRPr="00000000">
        <w:rPr>
          <w:rtl w:val="0"/>
        </w:rPr>
        <w:t xml:space="preserve">2. Structure is determined by several factors</w:t>
      </w:r>
    </w:p>
    <w:p w:rsidR="00000000" w:rsidDel="00000000" w:rsidP="00000000" w:rsidRDefault="00000000" w:rsidRPr="00000000" w14:paraId="0000000A">
      <w:pPr>
        <w:numPr>
          <w:ilvl w:val="0"/>
          <w:numId w:val="1"/>
        </w:numPr>
        <w:ind w:left="720" w:hanging="360"/>
        <w:rPr>
          <w:u w:val="none"/>
        </w:rPr>
      </w:pPr>
      <w:r w:rsidDel="00000000" w:rsidR="00000000" w:rsidRPr="00000000">
        <w:rPr>
          <w:rtl w:val="0"/>
        </w:rPr>
        <w:t xml:space="preserve">Students should be able to </w:t>
      </w:r>
      <w:r w:rsidDel="00000000" w:rsidR="00000000" w:rsidRPr="00000000">
        <w:rPr>
          <w:b w:val="1"/>
          <w:rtl w:val="0"/>
        </w:rPr>
        <w:t xml:space="preserve">recognize the repeating units in biological macromolecules </w:t>
      </w:r>
      <w:r w:rsidDel="00000000" w:rsidR="00000000" w:rsidRPr="00000000">
        <w:rPr>
          <w:rtl w:val="0"/>
        </w:rPr>
        <w:t xml:space="preserve">and be able to discuss the structural impacts of the covalent and noncovalent interactions involved </w:t>
      </w:r>
      <w:r w:rsidDel="00000000" w:rsidR="00000000" w:rsidRPr="00000000">
        <w:rPr>
          <w:i w:val="1"/>
          <w:rtl w:val="0"/>
        </w:rPr>
        <w:t xml:space="preserve">(Introductory)</w:t>
      </w:r>
      <w:r w:rsidDel="00000000" w:rsidR="00000000" w:rsidRPr="00000000">
        <w:rPr>
          <w:rtl w:val="0"/>
        </w:rPr>
        <w:t xml:space="preserve">.</w:t>
      </w:r>
      <w:r w:rsidDel="00000000" w:rsidR="00000000" w:rsidRPr="00000000">
        <w:rPr>
          <w:rFonts w:ascii="Calibri" w:cs="Calibri" w:eastAsia="Calibri" w:hAnsi="Calibri"/>
          <w:sz w:val="24"/>
          <w:szCs w:val="24"/>
          <w:rtl w:val="0"/>
        </w:rPr>
        <w:t xml:space="preserve"> </w:t>
      </w:r>
      <w:r w:rsidDel="00000000" w:rsidR="00000000" w:rsidRPr="00000000">
        <w:rPr>
          <w:rtl w:val="0"/>
        </w:rPr>
      </w:r>
    </w:p>
    <w:p w:rsidR="00000000" w:rsidDel="00000000" w:rsidP="00000000" w:rsidRDefault="00000000" w:rsidRPr="00000000" w14:paraId="0000000B">
      <w:pPr>
        <w:spacing w:line="240" w:lineRule="auto"/>
        <w:rPr>
          <w:sz w:val="24"/>
          <w:szCs w:val="24"/>
        </w:rPr>
      </w:pPr>
      <w:r w:rsidDel="00000000" w:rsidR="00000000" w:rsidRPr="00000000">
        <w:rPr>
          <w:sz w:val="24"/>
          <w:szCs w:val="24"/>
          <w:rtl w:val="0"/>
        </w:rPr>
        <w:t xml:space="preserve">__________________________________</w:t>
      </w:r>
    </w:p>
    <w:p w:rsidR="00000000" w:rsidDel="00000000" w:rsidP="00000000" w:rsidRDefault="00000000" w:rsidRPr="00000000" w14:paraId="0000000C">
      <w:pPr>
        <w:spacing w:line="240" w:lineRule="auto"/>
        <w:rPr>
          <w:sz w:val="24"/>
          <w:szCs w:val="24"/>
        </w:rPr>
      </w:pPr>
      <w:r w:rsidDel="00000000" w:rsidR="00000000" w:rsidRPr="00000000">
        <w:rPr>
          <w:rtl w:val="0"/>
        </w:rPr>
      </w:r>
    </w:p>
    <w:p w:rsidR="00000000" w:rsidDel="00000000" w:rsidP="00000000" w:rsidRDefault="00000000" w:rsidRPr="00000000" w14:paraId="0000000D">
      <w:pPr>
        <w:ind w:left="0" w:firstLine="0"/>
        <w:rPr/>
      </w:pPr>
      <w:r w:rsidDel="00000000" w:rsidR="00000000" w:rsidRPr="00000000">
        <w:rPr>
          <w:rtl w:val="0"/>
        </w:rPr>
        <w:t xml:space="preserve">Mannose and Glucose have the same chemical formula but the configuration of the carbon C2 is different. It is a key sugar building block used in the glycosylation of proteins. </w:t>
      </w:r>
    </w:p>
    <w:p w:rsidR="00000000" w:rsidDel="00000000" w:rsidP="00000000" w:rsidRDefault="00000000" w:rsidRPr="00000000" w14:paraId="0000000E">
      <w:pPr>
        <w:numPr>
          <w:ilvl w:val="0"/>
          <w:numId w:val="2"/>
        </w:numPr>
        <w:ind w:left="720" w:hanging="360"/>
        <w:rPr>
          <w:u w:val="none"/>
        </w:rPr>
      </w:pPr>
      <w:r w:rsidDel="00000000" w:rsidR="00000000" w:rsidRPr="00000000">
        <w:rPr>
          <w:rtl w:val="0"/>
        </w:rPr>
        <w:t xml:space="preserve">Explore the Mannose molecule </w:t>
      </w:r>
      <w:hyperlink r:id="rId8">
        <w:r w:rsidDel="00000000" w:rsidR="00000000" w:rsidRPr="00000000">
          <w:rPr>
            <w:color w:val="1155cc"/>
            <w:u w:val="single"/>
            <w:rtl w:val="0"/>
          </w:rPr>
          <w:t xml:space="preserve">MAN</w:t>
        </w:r>
      </w:hyperlink>
      <w:r w:rsidDel="00000000" w:rsidR="00000000" w:rsidRPr="00000000">
        <w:rPr>
          <w:rtl w:val="0"/>
        </w:rPr>
        <w:t xml:space="preserve"> and answer the following questions: </w:t>
      </w:r>
      <w:r w:rsidDel="00000000" w:rsidR="00000000" w:rsidRPr="00000000">
        <w:rPr>
          <w:rtl w:val="0"/>
        </w:rPr>
      </w:r>
    </w:p>
    <w:p w:rsidR="00000000" w:rsidDel="00000000" w:rsidP="00000000" w:rsidRDefault="00000000" w:rsidRPr="00000000" w14:paraId="0000000F">
      <w:pPr>
        <w:numPr>
          <w:ilvl w:val="1"/>
          <w:numId w:val="2"/>
        </w:numPr>
        <w:ind w:left="1440" w:hanging="360"/>
        <w:rPr>
          <w:u w:val="none"/>
        </w:rPr>
      </w:pPr>
      <w:r w:rsidDel="00000000" w:rsidR="00000000" w:rsidRPr="00000000">
        <w:rPr>
          <w:rtl w:val="0"/>
        </w:rPr>
        <w:t xml:space="preserve">What is the complete chemical name of this molecule? </w:t>
      </w:r>
      <w:r w:rsidDel="00000000" w:rsidR="00000000" w:rsidRPr="00000000">
        <w:rPr>
          <w:rtl w:val="0"/>
        </w:rPr>
      </w:r>
    </w:p>
    <w:p w:rsidR="00000000" w:rsidDel="00000000" w:rsidP="00000000" w:rsidRDefault="00000000" w:rsidRPr="00000000" w14:paraId="00000010">
      <w:pPr>
        <w:ind w:left="0" w:firstLine="0"/>
        <w:rPr/>
      </w:pPr>
      <w:r w:rsidDel="00000000" w:rsidR="00000000" w:rsidRPr="00000000">
        <w:rPr>
          <w:rtl w:val="0"/>
        </w:rPr>
      </w:r>
    </w:p>
    <w:p w:rsidR="00000000" w:rsidDel="00000000" w:rsidP="00000000" w:rsidRDefault="00000000" w:rsidRPr="00000000" w14:paraId="00000011">
      <w:pPr>
        <w:ind w:left="0" w:firstLine="0"/>
        <w:rPr/>
      </w:pPr>
      <w:r w:rsidDel="00000000" w:rsidR="00000000" w:rsidRPr="00000000">
        <w:rPr>
          <w:rtl w:val="0"/>
        </w:rPr>
      </w:r>
    </w:p>
    <w:p w:rsidR="00000000" w:rsidDel="00000000" w:rsidP="00000000" w:rsidRDefault="00000000" w:rsidRPr="00000000" w14:paraId="00000012">
      <w:pPr>
        <w:ind w:left="0" w:firstLine="0"/>
        <w:rPr/>
      </w:pPr>
      <w:r w:rsidDel="00000000" w:rsidR="00000000" w:rsidRPr="00000000">
        <w:rPr>
          <w:rtl w:val="0"/>
        </w:rPr>
      </w:r>
    </w:p>
    <w:p w:rsidR="00000000" w:rsidDel="00000000" w:rsidP="00000000" w:rsidRDefault="00000000" w:rsidRPr="00000000" w14:paraId="00000013">
      <w:pPr>
        <w:numPr>
          <w:ilvl w:val="1"/>
          <w:numId w:val="2"/>
        </w:numPr>
        <w:ind w:left="1440" w:hanging="360"/>
        <w:rPr>
          <w:u w:val="none"/>
        </w:rPr>
      </w:pPr>
      <w:r w:rsidDel="00000000" w:rsidR="00000000" w:rsidRPr="00000000">
        <w:rPr>
          <w:rtl w:val="0"/>
        </w:rPr>
        <w:t xml:space="preserve">How many chiral atoms are present in this molecule? Save an image of the molecule, label/mark the chiral atoms and include the image here. </w:t>
      </w: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color w:val="ff0000"/>
        </w:rPr>
      </w:pPr>
      <w:r w:rsidDel="00000000" w:rsidR="00000000" w:rsidRPr="00000000">
        <w:rPr>
          <w:rtl w:val="0"/>
        </w:rPr>
      </w:r>
    </w:p>
    <w:p w:rsidR="00000000" w:rsidDel="00000000" w:rsidP="00000000" w:rsidRDefault="00000000" w:rsidRPr="00000000" w14:paraId="00000021">
      <w:pPr>
        <w:numPr>
          <w:ilvl w:val="1"/>
          <w:numId w:val="2"/>
        </w:numPr>
        <w:ind w:left="1440" w:hanging="360"/>
        <w:rPr/>
      </w:pPr>
      <w:r w:rsidDel="00000000" w:rsidR="00000000" w:rsidRPr="00000000">
        <w:rPr>
          <w:rtl w:val="0"/>
        </w:rPr>
        <w:t xml:space="preserve">Complete the table about MAN’s configuration - explain your answer with suitable figures and include them in the Evidence column. The first row of the table is completed for you.</w:t>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60"/>
        <w:gridCol w:w="1605"/>
        <w:gridCol w:w="3120"/>
        <w:gridCol w:w="3375"/>
        <w:tblGridChange w:id="0">
          <w:tblGrid>
            <w:gridCol w:w="1260"/>
            <w:gridCol w:w="1605"/>
            <w:gridCol w:w="3120"/>
            <w:gridCol w:w="337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Question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Answer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Explanation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Evidence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Aldose or ketose?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Aldose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The oxygen atom derived from the C=O in the terminal aldehyde group is at C1 - the linear molecule had an aldehyde group here.</w:t>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spacing w:line="240" w:lineRule="auto"/>
              <w:jc w:val="center"/>
              <w:rPr/>
            </w:pPr>
            <w:r w:rsidDel="00000000" w:rsidR="00000000" w:rsidRPr="00000000">
              <w:rPr/>
              <w:drawing>
                <wp:inline distB="114300" distT="114300" distL="114300" distR="114300">
                  <wp:extent cx="1752600" cy="1308100"/>
                  <wp:effectExtent b="0" l="0" r="0" t="0"/>
                  <wp:docPr id="16"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1752600" cy="1308100"/>
                          </a:xfrm>
                          <a:prstGeom prst="rect"/>
                          <a:ln/>
                        </pic:spPr>
                      </pic:pic>
                    </a:graphicData>
                  </a:graphic>
                </wp:inline>
              </w:drawing>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C">
            <w:pPr>
              <w:widowControl w:val="0"/>
              <w:spacing w:line="240" w:lineRule="auto"/>
              <w:rPr/>
            </w:pPr>
            <w:r w:rsidDel="00000000" w:rsidR="00000000" w:rsidRPr="00000000">
              <w:rPr>
                <w:rtl w:val="0"/>
              </w:rPr>
              <w:t xml:space="preserve">D- or L- sugar?</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𝝰 or 𝝱 - sugars?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i w:val="1"/>
          <w:color w:val="0000ff"/>
        </w:rPr>
      </w:pPr>
      <w:r w:rsidDel="00000000" w:rsidR="00000000" w:rsidRPr="00000000">
        <w:rPr>
          <w:i w:val="1"/>
          <w:color w:val="0000ff"/>
          <w:rtl w:val="0"/>
        </w:rPr>
        <w:t xml:space="preserve">Teaching notes: To learn more about these terms review the accompanying learning materials, titled “Saccharides in the PDB”.</w:t>
      </w:r>
    </w:p>
    <w:p w:rsidR="00000000" w:rsidDel="00000000" w:rsidP="00000000" w:rsidRDefault="00000000" w:rsidRPr="00000000" w14:paraId="00000036">
      <w:pPr>
        <w:ind w:left="0" w:firstLine="0"/>
        <w:rPr/>
      </w:pPr>
      <w:r w:rsidDel="00000000" w:rsidR="00000000" w:rsidRPr="00000000">
        <w:rPr>
          <w:rtl w:val="0"/>
        </w:rPr>
      </w:r>
    </w:p>
    <w:p w:rsidR="00000000" w:rsidDel="00000000" w:rsidP="00000000" w:rsidRDefault="00000000" w:rsidRPr="00000000" w14:paraId="00000037">
      <w:pPr>
        <w:numPr>
          <w:ilvl w:val="0"/>
          <w:numId w:val="2"/>
        </w:numPr>
        <w:ind w:left="720" w:hanging="360"/>
        <w:rPr>
          <w:u w:val="none"/>
        </w:rPr>
      </w:pPr>
      <w:r w:rsidDel="00000000" w:rsidR="00000000" w:rsidRPr="00000000">
        <w:rPr>
          <w:rtl w:val="0"/>
        </w:rPr>
        <w:t xml:space="preserve">Explore the saccharides in the Chemical Component Dictionary related to MAN. </w:t>
      </w:r>
      <w:r w:rsidDel="00000000" w:rsidR="00000000" w:rsidRPr="00000000">
        <w:rPr>
          <w:rtl w:val="0"/>
        </w:rPr>
      </w:r>
    </w:p>
    <w:p w:rsidR="00000000" w:rsidDel="00000000" w:rsidP="00000000" w:rsidRDefault="00000000" w:rsidRPr="00000000" w14:paraId="00000038">
      <w:pPr>
        <w:rPr/>
      </w:pPr>
      <w:r w:rsidDel="00000000" w:rsidR="00000000" w:rsidRPr="00000000">
        <w:rPr>
          <w:i w:val="1"/>
          <w:color w:val="ff0000"/>
        </w:rPr>
        <w:drawing>
          <wp:inline distB="114300" distT="114300" distL="114300" distR="114300">
            <wp:extent cx="2743200" cy="1038196"/>
            <wp:effectExtent b="0" l="0" r="0" t="0"/>
            <wp:docPr id="18" name="image4.png"/>
            <a:graphic>
              <a:graphicData uri="http://schemas.openxmlformats.org/drawingml/2006/picture">
                <pic:pic>
                  <pic:nvPicPr>
                    <pic:cNvPr id="0" name="image4.png"/>
                    <pic:cNvPicPr preferRelativeResize="0"/>
                  </pic:nvPicPr>
                  <pic:blipFill>
                    <a:blip r:embed="rId10"/>
                    <a:srcRect b="0" l="0" r="0" t="0"/>
                    <a:stretch>
                      <a:fillRect/>
                    </a:stretch>
                  </pic:blipFill>
                  <pic:spPr>
                    <a:xfrm>
                      <a:off x="0" y="0"/>
                      <a:ext cx="2743200" cy="1038196"/>
                    </a:xfrm>
                    <a:prstGeom prst="rect"/>
                    <a:ln/>
                  </pic:spPr>
                </pic:pic>
              </a:graphicData>
            </a:graphic>
          </wp:inline>
        </w:drawing>
      </w:r>
      <w:r w:rsidDel="00000000" w:rsidR="00000000" w:rsidRPr="00000000">
        <w:rPr>
          <w:rtl w:val="0"/>
        </w:rPr>
      </w:r>
    </w:p>
    <w:p w:rsidR="00000000" w:rsidDel="00000000" w:rsidP="00000000" w:rsidRDefault="00000000" w:rsidRPr="00000000" w14:paraId="00000039">
      <w:pPr>
        <w:ind w:left="0" w:firstLine="0"/>
        <w:rPr/>
      </w:pPr>
      <w:r w:rsidDel="00000000" w:rsidR="00000000" w:rsidRPr="00000000">
        <w:rPr>
          <w:rtl w:val="0"/>
        </w:rPr>
        <w:t xml:space="preserve">While the Ligand Summary page for the sugar MAN offers several options for finding similar components use the “Similar Ligands (Stereospecific)” option here and answer the following questions: </w:t>
      </w:r>
    </w:p>
    <w:p w:rsidR="00000000" w:rsidDel="00000000" w:rsidP="00000000" w:rsidRDefault="00000000" w:rsidRPr="00000000" w14:paraId="0000003A">
      <w:pPr>
        <w:numPr>
          <w:ilvl w:val="1"/>
          <w:numId w:val="2"/>
        </w:numPr>
        <w:ind w:left="1440" w:hanging="360"/>
        <w:rPr>
          <w:u w:val="none"/>
        </w:rPr>
      </w:pPr>
      <w:r w:rsidDel="00000000" w:rsidR="00000000" w:rsidRPr="00000000">
        <w:rPr>
          <w:rtl w:val="0"/>
        </w:rPr>
        <w:t xml:space="preserve">Review the list of ligands and identify one that is an Epimer of MAN. Write the chemical component identifier (or code) for this molecule and its complete name. Explain your answer for considering this is an epimer of MAN. Include a suitable figure to support your rationale. </w:t>
      </w:r>
      <w:r w:rsidDel="00000000" w:rsidR="00000000" w:rsidRPr="00000000">
        <w:rPr>
          <w:rtl w:val="0"/>
        </w:rPr>
      </w:r>
    </w:p>
    <w:p w:rsidR="00000000" w:rsidDel="00000000" w:rsidP="00000000" w:rsidRDefault="00000000" w:rsidRPr="00000000" w14:paraId="0000003B">
      <w:pPr>
        <w:ind w:left="0" w:firstLine="0"/>
        <w:rPr/>
      </w:pPr>
      <w:r w:rsidDel="00000000" w:rsidR="00000000" w:rsidRPr="00000000">
        <w:rPr>
          <w:rtl w:val="0"/>
        </w:rPr>
      </w:r>
    </w:p>
    <w:p w:rsidR="00000000" w:rsidDel="00000000" w:rsidP="00000000" w:rsidRDefault="00000000" w:rsidRPr="00000000" w14:paraId="0000003C">
      <w:pPr>
        <w:ind w:left="0" w:firstLine="0"/>
        <w:rPr/>
      </w:pPr>
      <w:r w:rsidDel="00000000" w:rsidR="00000000" w:rsidRPr="00000000">
        <w:rPr>
          <w:rtl w:val="0"/>
        </w:rPr>
      </w:r>
    </w:p>
    <w:p w:rsidR="00000000" w:rsidDel="00000000" w:rsidP="00000000" w:rsidRDefault="00000000" w:rsidRPr="00000000" w14:paraId="0000003D">
      <w:pPr>
        <w:ind w:left="0" w:firstLine="0"/>
        <w:rPr/>
      </w:pPr>
      <w:r w:rsidDel="00000000" w:rsidR="00000000" w:rsidRPr="00000000">
        <w:rPr>
          <w:rtl w:val="0"/>
        </w:rPr>
      </w:r>
    </w:p>
    <w:p w:rsidR="00000000" w:rsidDel="00000000" w:rsidP="00000000" w:rsidRDefault="00000000" w:rsidRPr="00000000" w14:paraId="0000003E">
      <w:pPr>
        <w:ind w:left="0" w:firstLine="0"/>
        <w:rPr/>
      </w:pPr>
      <w:r w:rsidDel="00000000" w:rsidR="00000000" w:rsidRPr="00000000">
        <w:rPr>
          <w:rtl w:val="0"/>
        </w:rPr>
      </w:r>
    </w:p>
    <w:p w:rsidR="00000000" w:rsidDel="00000000" w:rsidP="00000000" w:rsidRDefault="00000000" w:rsidRPr="00000000" w14:paraId="0000003F">
      <w:pPr>
        <w:ind w:left="0" w:firstLine="0"/>
        <w:rPr/>
      </w:pPr>
      <w:r w:rsidDel="00000000" w:rsidR="00000000" w:rsidRPr="00000000">
        <w:rPr>
          <w:rtl w:val="0"/>
        </w:rPr>
      </w:r>
    </w:p>
    <w:p w:rsidR="00000000" w:rsidDel="00000000" w:rsidP="00000000" w:rsidRDefault="00000000" w:rsidRPr="00000000" w14:paraId="00000040">
      <w:pPr>
        <w:ind w:left="0" w:firstLine="0"/>
        <w:rPr/>
      </w:pPr>
      <w:r w:rsidDel="00000000" w:rsidR="00000000" w:rsidRPr="00000000">
        <w:rPr>
          <w:rtl w:val="0"/>
        </w:rPr>
      </w:r>
    </w:p>
    <w:p w:rsidR="00000000" w:rsidDel="00000000" w:rsidP="00000000" w:rsidRDefault="00000000" w:rsidRPr="00000000" w14:paraId="00000041">
      <w:pPr>
        <w:ind w:left="0" w:firstLine="0"/>
        <w:rPr/>
      </w:pPr>
      <w:r w:rsidDel="00000000" w:rsidR="00000000" w:rsidRPr="00000000">
        <w:rPr>
          <w:rtl w:val="0"/>
        </w:rPr>
      </w:r>
    </w:p>
    <w:p w:rsidR="00000000" w:rsidDel="00000000" w:rsidP="00000000" w:rsidRDefault="00000000" w:rsidRPr="00000000" w14:paraId="00000042">
      <w:pPr>
        <w:ind w:left="0" w:firstLine="0"/>
        <w:rPr/>
      </w:pPr>
      <w:r w:rsidDel="00000000" w:rsidR="00000000" w:rsidRPr="00000000">
        <w:rPr>
          <w:rtl w:val="0"/>
        </w:rPr>
      </w:r>
    </w:p>
    <w:p w:rsidR="00000000" w:rsidDel="00000000" w:rsidP="00000000" w:rsidRDefault="00000000" w:rsidRPr="00000000" w14:paraId="00000043">
      <w:pPr>
        <w:rPr/>
      </w:pPr>
      <w:r w:rsidDel="00000000" w:rsidR="00000000" w:rsidRPr="00000000">
        <w:rPr>
          <w:color w:val="ff0000"/>
          <w:rtl w:val="0"/>
        </w:rPr>
        <w:t xml:space="preserve"> </w:t>
      </w:r>
      <w:r w:rsidDel="00000000" w:rsidR="00000000" w:rsidRPr="00000000">
        <w:rPr>
          <w:rtl w:val="0"/>
        </w:rPr>
      </w:r>
    </w:p>
    <w:p w:rsidR="00000000" w:rsidDel="00000000" w:rsidP="00000000" w:rsidRDefault="00000000" w:rsidRPr="00000000" w14:paraId="00000044">
      <w:pPr>
        <w:numPr>
          <w:ilvl w:val="0"/>
          <w:numId w:val="2"/>
        </w:numPr>
        <w:ind w:left="720" w:hanging="360"/>
        <w:rPr>
          <w:u w:val="none"/>
        </w:rPr>
      </w:pPr>
      <w:r w:rsidDel="00000000" w:rsidR="00000000" w:rsidRPr="00000000">
        <w:rPr>
          <w:rtl w:val="0"/>
        </w:rPr>
        <w:t xml:space="preserve">Explore the following saccharides in PDB’s Chemical Component Dictionary by clicking on the link included. Complete the following 2 tables by:</w:t>
      </w:r>
      <w:r w:rsidDel="00000000" w:rsidR="00000000" w:rsidRPr="00000000">
        <w:rPr>
          <w:rtl w:val="0"/>
        </w:rPr>
      </w:r>
    </w:p>
    <w:p w:rsidR="00000000" w:rsidDel="00000000" w:rsidP="00000000" w:rsidRDefault="00000000" w:rsidRPr="00000000" w14:paraId="00000045">
      <w:pPr>
        <w:numPr>
          <w:ilvl w:val="1"/>
          <w:numId w:val="2"/>
        </w:numPr>
        <w:ind w:left="1440" w:hanging="360"/>
        <w:rPr>
          <w:u w:val="none"/>
        </w:rPr>
      </w:pPr>
      <w:r w:rsidDel="00000000" w:rsidR="00000000" w:rsidRPr="00000000">
        <w:rPr>
          <w:rtl w:val="0"/>
        </w:rPr>
        <w:t xml:space="preserve">Indicating if the monosaccharide is a D- or L- saccharide (Table 1) and 𝝰 or 𝝱 - sugar (Table 2). </w:t>
      </w:r>
      <w:r w:rsidDel="00000000" w:rsidR="00000000" w:rsidRPr="00000000">
        <w:rPr>
          <w:rtl w:val="0"/>
        </w:rPr>
      </w:r>
    </w:p>
    <w:p w:rsidR="00000000" w:rsidDel="00000000" w:rsidP="00000000" w:rsidRDefault="00000000" w:rsidRPr="00000000" w14:paraId="00000046">
      <w:pPr>
        <w:numPr>
          <w:ilvl w:val="1"/>
          <w:numId w:val="2"/>
        </w:numPr>
        <w:ind w:left="1440" w:hanging="360"/>
        <w:rPr>
          <w:u w:val="none"/>
        </w:rPr>
      </w:pPr>
      <w:r w:rsidDel="00000000" w:rsidR="00000000" w:rsidRPr="00000000">
        <w:rPr>
          <w:rtl w:val="0"/>
        </w:rPr>
        <w:t xml:space="preserve">Filling in the  “Reason” and “Evidence” columns to include the reason for your classification in words and in a figure respectively. Follow the example shown for GLC.</w:t>
      </w:r>
    </w:p>
    <w:p w:rsidR="00000000" w:rsidDel="00000000" w:rsidP="00000000" w:rsidRDefault="00000000" w:rsidRPr="00000000" w14:paraId="00000047">
      <w:pPr>
        <w:ind w:left="0" w:firstLine="0"/>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t xml:space="preserve">Table 1: D- or L- saccharides</w:t>
      </w:r>
    </w:p>
    <w:tbl>
      <w:tblPr>
        <w:tblStyle w:val="Table2"/>
        <w:tblW w:w="9330.0" w:type="dxa"/>
        <w:jc w:val="left"/>
        <w:tblInd w:w="3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10"/>
        <w:gridCol w:w="1860"/>
        <w:gridCol w:w="1575"/>
        <w:gridCol w:w="2085"/>
        <w:gridCol w:w="2700"/>
        <w:tblGridChange w:id="0">
          <w:tblGrid>
            <w:gridCol w:w="1110"/>
            <w:gridCol w:w="1860"/>
            <w:gridCol w:w="1575"/>
            <w:gridCol w:w="2085"/>
            <w:gridCol w:w="27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spacing w:line="240" w:lineRule="auto"/>
              <w:rPr/>
            </w:pPr>
            <w:r w:rsidDel="00000000" w:rsidR="00000000" w:rsidRPr="00000000">
              <w:rPr>
                <w:rtl w:val="0"/>
              </w:rPr>
              <w:t xml:space="preserve">Ligand ID</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widowControl w:val="0"/>
              <w:spacing w:line="240" w:lineRule="auto"/>
              <w:rPr/>
            </w:pPr>
            <w:r w:rsidDel="00000000" w:rsidR="00000000" w:rsidRPr="00000000">
              <w:rPr>
                <w:rtl w:val="0"/>
              </w:rPr>
              <w:t xml:space="preserve">Chemical structure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spacing w:line="240" w:lineRule="auto"/>
              <w:rPr/>
            </w:pPr>
            <w:r w:rsidDel="00000000" w:rsidR="00000000" w:rsidRPr="00000000">
              <w:rPr>
                <w:rtl w:val="0"/>
              </w:rPr>
              <w:t xml:space="preserve">D- or L- saccharide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widowControl w:val="0"/>
              <w:spacing w:line="240" w:lineRule="auto"/>
              <w:rPr/>
            </w:pPr>
            <w:r w:rsidDel="00000000" w:rsidR="00000000" w:rsidRPr="00000000">
              <w:rPr>
                <w:rtl w:val="0"/>
              </w:rPr>
              <w:t xml:space="preserve">Evidence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spacing w:line="240" w:lineRule="auto"/>
              <w:rPr/>
            </w:pPr>
            <w:r w:rsidDel="00000000" w:rsidR="00000000" w:rsidRPr="00000000">
              <w:rPr>
                <w:rtl w:val="0"/>
              </w:rPr>
              <w:t xml:space="preserve">Reason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spacing w:line="240" w:lineRule="auto"/>
              <w:rPr/>
            </w:pPr>
            <w:hyperlink r:id="rId11">
              <w:r w:rsidDel="00000000" w:rsidR="00000000" w:rsidRPr="00000000">
                <w:rPr>
                  <w:color w:val="1155cc"/>
                  <w:u w:val="single"/>
                  <w:rtl w:val="0"/>
                </w:rPr>
                <w:t xml:space="preserve">GLC</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spacing w:line="240" w:lineRule="auto"/>
              <w:rPr/>
            </w:pPr>
            <w:r w:rsidDel="00000000" w:rsidR="00000000" w:rsidRPr="00000000">
              <w:rPr/>
              <w:drawing>
                <wp:inline distB="114300" distT="114300" distL="114300" distR="114300">
                  <wp:extent cx="1047750" cy="838200"/>
                  <wp:effectExtent b="0" l="0" r="0" t="0"/>
                  <wp:docPr id="17" name="image1.png"/>
                  <a:graphic>
                    <a:graphicData uri="http://schemas.openxmlformats.org/drawingml/2006/picture">
                      <pic:pic>
                        <pic:nvPicPr>
                          <pic:cNvPr id="0" name="image1.png"/>
                          <pic:cNvPicPr preferRelativeResize="0"/>
                        </pic:nvPicPr>
                        <pic:blipFill>
                          <a:blip r:embed="rId12"/>
                          <a:srcRect b="0" l="0" r="0" t="0"/>
                          <a:stretch>
                            <a:fillRect/>
                          </a:stretch>
                        </pic:blipFill>
                        <pic:spPr>
                          <a:xfrm>
                            <a:off x="0" y="0"/>
                            <a:ext cx="1047750" cy="838200"/>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widowControl w:val="0"/>
              <w:spacing w:line="240" w:lineRule="auto"/>
              <w:rPr/>
            </w:pPr>
            <w:r w:rsidDel="00000000" w:rsidR="00000000" w:rsidRPr="00000000">
              <w:rPr>
                <w:rtl w:val="0"/>
              </w:rPr>
              <w:t xml:space="preserve">D-saccharide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widowControl w:val="0"/>
              <w:spacing w:line="240" w:lineRule="auto"/>
              <w:rPr>
                <w:color w:val="ff0000"/>
              </w:rPr>
            </w:pPr>
            <w:r w:rsidDel="00000000" w:rsidR="00000000" w:rsidRPr="00000000">
              <w:rPr>
                <w:color w:val="ff0000"/>
              </w:rPr>
              <w:drawing>
                <wp:inline distB="114300" distT="114300" distL="114300" distR="114300">
                  <wp:extent cx="1051560" cy="1405267"/>
                  <wp:effectExtent b="0" l="0" r="0" t="0"/>
                  <wp:docPr id="20" name="image10.png"/>
                  <a:graphic>
                    <a:graphicData uri="http://schemas.openxmlformats.org/drawingml/2006/picture">
                      <pic:pic>
                        <pic:nvPicPr>
                          <pic:cNvPr id="0" name="image10.png"/>
                          <pic:cNvPicPr preferRelativeResize="0"/>
                        </pic:nvPicPr>
                        <pic:blipFill>
                          <a:blip r:embed="rId13"/>
                          <a:srcRect b="0" l="0" r="0" t="0"/>
                          <a:stretch>
                            <a:fillRect/>
                          </a:stretch>
                        </pic:blipFill>
                        <pic:spPr>
                          <a:xfrm>
                            <a:off x="0" y="0"/>
                            <a:ext cx="1051560" cy="1405267"/>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spacing w:line="240" w:lineRule="auto"/>
              <w:rPr/>
            </w:pPr>
            <w:r w:rsidDel="00000000" w:rsidR="00000000" w:rsidRPr="00000000">
              <w:rPr>
                <w:rtl w:val="0"/>
              </w:rPr>
              <w:t xml:space="preserve">Has O attached to penultimate stereogenic Carbon on the viewer’s right (in Fischer projection)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3">
            <w:pPr>
              <w:widowControl w:val="0"/>
              <w:spacing w:line="240" w:lineRule="auto"/>
              <w:rPr/>
            </w:pPr>
            <w:hyperlink r:id="rId14">
              <w:r w:rsidDel="00000000" w:rsidR="00000000" w:rsidRPr="00000000">
                <w:rPr>
                  <w:color w:val="1155cc"/>
                  <w:u w:val="single"/>
                  <w:rtl w:val="0"/>
                </w:rPr>
                <w:t xml:space="preserve">BMA</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widowControl w:val="0"/>
              <w:spacing w:line="240" w:lineRule="auto"/>
              <w:rPr/>
            </w:pPr>
            <w:r w:rsidDel="00000000" w:rsidR="00000000" w:rsidRPr="00000000">
              <w:rPr/>
              <w:drawing>
                <wp:inline distB="114300" distT="114300" distL="114300" distR="114300">
                  <wp:extent cx="1047750" cy="787400"/>
                  <wp:effectExtent b="0" l="0" r="0" t="0"/>
                  <wp:docPr id="19" name="image5.png"/>
                  <a:graphic>
                    <a:graphicData uri="http://schemas.openxmlformats.org/drawingml/2006/picture">
                      <pic:pic>
                        <pic:nvPicPr>
                          <pic:cNvPr id="0" name="image5.png"/>
                          <pic:cNvPicPr preferRelativeResize="0"/>
                        </pic:nvPicPr>
                        <pic:blipFill>
                          <a:blip r:embed="rId15"/>
                          <a:srcRect b="0" l="0" r="0" t="0"/>
                          <a:stretch>
                            <a:fillRect/>
                          </a:stretch>
                        </pic:blipFill>
                        <pic:spPr>
                          <a:xfrm>
                            <a:off x="0" y="0"/>
                            <a:ext cx="1047750" cy="787400"/>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widowControl w:val="0"/>
              <w:spacing w:line="240" w:lineRule="auto"/>
              <w:rPr/>
            </w:pPr>
            <w:r w:rsidDel="00000000" w:rsidR="00000000" w:rsidRPr="00000000">
              <w:rPr>
                <w:rtl w:val="0"/>
              </w:rPr>
            </w:r>
          </w:p>
        </w:tc>
      </w:tr>
      <w:tr>
        <w:trPr>
          <w:cantSplit w:val="0"/>
          <w:trHeight w:val="1576.621093750000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8">
            <w:pPr>
              <w:widowControl w:val="0"/>
              <w:spacing w:line="240" w:lineRule="auto"/>
              <w:rPr/>
            </w:pPr>
            <w:hyperlink r:id="rId16">
              <w:r w:rsidDel="00000000" w:rsidR="00000000" w:rsidRPr="00000000">
                <w:rPr>
                  <w:color w:val="1155cc"/>
                  <w:u w:val="single"/>
                  <w:rtl w:val="0"/>
                </w:rPr>
                <w:t xml:space="preserve">GAL</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widowControl w:val="0"/>
              <w:spacing w:line="240" w:lineRule="auto"/>
              <w:jc w:val="center"/>
              <w:rPr/>
            </w:pPr>
            <w:r w:rsidDel="00000000" w:rsidR="00000000" w:rsidRPr="00000000">
              <w:rPr/>
              <w:drawing>
                <wp:inline distB="114300" distT="114300" distL="114300" distR="114300">
                  <wp:extent cx="1047750" cy="812800"/>
                  <wp:effectExtent b="0" l="0" r="0" t="0"/>
                  <wp:docPr id="22" name="image7.png"/>
                  <a:graphic>
                    <a:graphicData uri="http://schemas.openxmlformats.org/drawingml/2006/picture">
                      <pic:pic>
                        <pic:nvPicPr>
                          <pic:cNvPr id="0" name="image7.png"/>
                          <pic:cNvPicPr preferRelativeResize="0"/>
                        </pic:nvPicPr>
                        <pic:blipFill>
                          <a:blip r:embed="rId17"/>
                          <a:srcRect b="0" l="0" r="0" t="0"/>
                          <a:stretch>
                            <a:fillRect/>
                          </a:stretch>
                        </pic:blipFill>
                        <pic:spPr>
                          <a:xfrm>
                            <a:off x="0" y="0"/>
                            <a:ext cx="1047750" cy="812800"/>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D">
            <w:pPr>
              <w:widowControl w:val="0"/>
              <w:spacing w:line="240" w:lineRule="auto"/>
              <w:rPr/>
            </w:pPr>
            <w:hyperlink r:id="rId18">
              <w:r w:rsidDel="00000000" w:rsidR="00000000" w:rsidRPr="00000000">
                <w:rPr>
                  <w:color w:val="1155cc"/>
                  <w:u w:val="single"/>
                  <w:rtl w:val="0"/>
                </w:rPr>
                <w:t xml:space="preserve">FRU</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widowControl w:val="0"/>
              <w:spacing w:line="240" w:lineRule="auto"/>
              <w:rPr/>
            </w:pPr>
            <w:r w:rsidDel="00000000" w:rsidR="00000000" w:rsidRPr="00000000">
              <w:rPr/>
              <w:drawing>
                <wp:inline distB="114300" distT="114300" distL="114300" distR="114300">
                  <wp:extent cx="1047750" cy="850900"/>
                  <wp:effectExtent b="0" l="0" r="0" t="0"/>
                  <wp:docPr id="21" name="image8.png"/>
                  <a:graphic>
                    <a:graphicData uri="http://schemas.openxmlformats.org/drawingml/2006/picture">
                      <pic:pic>
                        <pic:nvPicPr>
                          <pic:cNvPr id="0" name="image8.png"/>
                          <pic:cNvPicPr preferRelativeResize="0"/>
                        </pic:nvPicPr>
                        <pic:blipFill>
                          <a:blip r:embed="rId19"/>
                          <a:srcRect b="0" l="0" r="0" t="0"/>
                          <a:stretch>
                            <a:fillRect/>
                          </a:stretch>
                        </pic:blipFill>
                        <pic:spPr>
                          <a:xfrm>
                            <a:off x="0" y="0"/>
                            <a:ext cx="1047750" cy="850900"/>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2">
            <w:pPr>
              <w:widowControl w:val="0"/>
              <w:spacing w:line="240" w:lineRule="auto"/>
              <w:rPr/>
            </w:pPr>
            <w:hyperlink r:id="rId20">
              <w:r w:rsidDel="00000000" w:rsidR="00000000" w:rsidRPr="00000000">
                <w:rPr>
                  <w:color w:val="1155cc"/>
                  <w:u w:val="single"/>
                  <w:rtl w:val="0"/>
                </w:rPr>
                <w:t xml:space="preserve">SF6</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widowControl w:val="0"/>
              <w:spacing w:line="240" w:lineRule="auto"/>
              <w:rPr/>
            </w:pPr>
            <w:r w:rsidDel="00000000" w:rsidR="00000000" w:rsidRPr="00000000">
              <w:rPr/>
              <w:drawing>
                <wp:inline distB="114300" distT="114300" distL="114300" distR="114300">
                  <wp:extent cx="1047750" cy="889000"/>
                  <wp:effectExtent b="0" l="0" r="0" t="0"/>
                  <wp:docPr id="24" name="image9.png"/>
                  <a:graphic>
                    <a:graphicData uri="http://schemas.openxmlformats.org/drawingml/2006/picture">
                      <pic:pic>
                        <pic:nvPicPr>
                          <pic:cNvPr id="0" name="image9.png"/>
                          <pic:cNvPicPr preferRelativeResize="0"/>
                        </pic:nvPicPr>
                        <pic:blipFill>
                          <a:blip r:embed="rId21"/>
                          <a:srcRect b="0" l="0" r="0" t="0"/>
                          <a:stretch>
                            <a:fillRect/>
                          </a:stretch>
                        </pic:blipFill>
                        <pic:spPr>
                          <a:xfrm>
                            <a:off x="0" y="0"/>
                            <a:ext cx="1047750" cy="889000"/>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widowControl w:val="0"/>
              <w:spacing w:line="240" w:lineRule="auto"/>
              <w:rPr/>
            </w:pPr>
            <w:r w:rsidDel="00000000" w:rsidR="00000000" w:rsidRPr="00000000">
              <w:rPr>
                <w:rtl w:val="0"/>
              </w:rPr>
            </w:r>
          </w:p>
        </w:tc>
      </w:tr>
    </w:tbl>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t xml:space="preserve">Table 2: 𝝰 or 𝝱 Saccharides</w:t>
      </w:r>
    </w:p>
    <w:tbl>
      <w:tblPr>
        <w:tblStyle w:val="Table3"/>
        <w:tblW w:w="9330.0" w:type="dxa"/>
        <w:jc w:val="left"/>
        <w:tblInd w:w="3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10"/>
        <w:gridCol w:w="1860"/>
        <w:gridCol w:w="1515"/>
        <w:gridCol w:w="2280"/>
        <w:gridCol w:w="2565"/>
        <w:tblGridChange w:id="0">
          <w:tblGrid>
            <w:gridCol w:w="1110"/>
            <w:gridCol w:w="1860"/>
            <w:gridCol w:w="1515"/>
            <w:gridCol w:w="2280"/>
            <w:gridCol w:w="256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A">
            <w:pPr>
              <w:widowControl w:val="0"/>
              <w:spacing w:line="240" w:lineRule="auto"/>
              <w:rPr/>
            </w:pPr>
            <w:r w:rsidDel="00000000" w:rsidR="00000000" w:rsidRPr="00000000">
              <w:rPr>
                <w:rtl w:val="0"/>
              </w:rPr>
              <w:t xml:space="preserve">Ligand ID</w:t>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widowControl w:val="0"/>
              <w:spacing w:line="240" w:lineRule="auto"/>
              <w:rPr/>
            </w:pPr>
            <w:r w:rsidDel="00000000" w:rsidR="00000000" w:rsidRPr="00000000">
              <w:rPr>
                <w:rtl w:val="0"/>
              </w:rPr>
              <w:t xml:space="preserve">Chemical structure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widowControl w:val="0"/>
              <w:spacing w:line="240" w:lineRule="auto"/>
              <w:rPr/>
            </w:pPr>
            <w:r w:rsidDel="00000000" w:rsidR="00000000" w:rsidRPr="00000000">
              <w:rPr>
                <w:rtl w:val="0"/>
              </w:rPr>
              <w:t xml:space="preserve">𝝰 or 𝝱 saccharide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widowControl w:val="0"/>
              <w:spacing w:line="240" w:lineRule="auto"/>
              <w:rPr/>
            </w:pPr>
            <w:r w:rsidDel="00000000" w:rsidR="00000000" w:rsidRPr="00000000">
              <w:rPr>
                <w:rtl w:val="0"/>
              </w:rPr>
              <w:t xml:space="preserve">Evidence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widowControl w:val="0"/>
              <w:spacing w:line="240" w:lineRule="auto"/>
              <w:rPr/>
            </w:pPr>
            <w:r w:rsidDel="00000000" w:rsidR="00000000" w:rsidRPr="00000000">
              <w:rPr>
                <w:rtl w:val="0"/>
              </w:rPr>
              <w:t xml:space="preserve">Reason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F">
            <w:pPr>
              <w:widowControl w:val="0"/>
              <w:spacing w:line="240" w:lineRule="auto"/>
              <w:rPr/>
            </w:pPr>
            <w:hyperlink r:id="rId22">
              <w:r w:rsidDel="00000000" w:rsidR="00000000" w:rsidRPr="00000000">
                <w:rPr>
                  <w:color w:val="1155cc"/>
                  <w:u w:val="single"/>
                  <w:rtl w:val="0"/>
                </w:rPr>
                <w:t xml:space="preserve">GLC</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widowControl w:val="0"/>
              <w:spacing w:line="240" w:lineRule="auto"/>
              <w:rPr/>
            </w:pPr>
            <w:r w:rsidDel="00000000" w:rsidR="00000000" w:rsidRPr="00000000">
              <w:rPr/>
              <w:drawing>
                <wp:inline distB="114300" distT="114300" distL="114300" distR="114300">
                  <wp:extent cx="1047750" cy="838200"/>
                  <wp:effectExtent b="0" l="0" r="0" t="0"/>
                  <wp:docPr id="23" name="image1.png"/>
                  <a:graphic>
                    <a:graphicData uri="http://schemas.openxmlformats.org/drawingml/2006/picture">
                      <pic:pic>
                        <pic:nvPicPr>
                          <pic:cNvPr id="0" name="image1.png"/>
                          <pic:cNvPicPr preferRelativeResize="0"/>
                        </pic:nvPicPr>
                        <pic:blipFill>
                          <a:blip r:embed="rId12"/>
                          <a:srcRect b="0" l="0" r="0" t="0"/>
                          <a:stretch>
                            <a:fillRect/>
                          </a:stretch>
                        </pic:blipFill>
                        <pic:spPr>
                          <a:xfrm>
                            <a:off x="0" y="0"/>
                            <a:ext cx="1047750" cy="838200"/>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widowControl w:val="0"/>
              <w:spacing w:line="240" w:lineRule="auto"/>
              <w:rPr/>
            </w:pPr>
            <w:r w:rsidDel="00000000" w:rsidR="00000000" w:rsidRPr="00000000">
              <w:rPr>
                <w:rtl w:val="0"/>
              </w:rPr>
              <w:t xml:space="preserve">𝝰-saccharide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widowControl w:val="0"/>
              <w:spacing w:line="240" w:lineRule="auto"/>
              <w:rPr>
                <w:color w:val="ff0000"/>
              </w:rPr>
            </w:pPr>
            <w:r w:rsidDel="00000000" w:rsidR="00000000" w:rsidRPr="00000000">
              <w:rPr>
                <w:color w:val="ff0000"/>
              </w:rPr>
              <w:drawing>
                <wp:inline distB="114300" distT="114300" distL="114300" distR="114300">
                  <wp:extent cx="1047750" cy="1115467"/>
                  <wp:effectExtent b="0" l="0" r="0" t="0"/>
                  <wp:docPr id="27" name="image6.png"/>
                  <a:graphic>
                    <a:graphicData uri="http://schemas.openxmlformats.org/drawingml/2006/picture">
                      <pic:pic>
                        <pic:nvPicPr>
                          <pic:cNvPr id="0" name="image6.png"/>
                          <pic:cNvPicPr preferRelativeResize="0"/>
                        </pic:nvPicPr>
                        <pic:blipFill>
                          <a:blip r:embed="rId23"/>
                          <a:srcRect b="4008" l="0" r="0" t="0"/>
                          <a:stretch>
                            <a:fillRect/>
                          </a:stretch>
                        </pic:blipFill>
                        <pic:spPr>
                          <a:xfrm>
                            <a:off x="0" y="0"/>
                            <a:ext cx="1047750" cy="1115467"/>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widowControl w:val="0"/>
              <w:spacing w:line="240" w:lineRule="auto"/>
              <w:rPr/>
            </w:pPr>
            <w:r w:rsidDel="00000000" w:rsidR="00000000" w:rsidRPr="00000000">
              <w:rPr>
                <w:rtl w:val="0"/>
              </w:rPr>
              <w:t xml:space="preserve">C1 has OH bound on the right in Fischer projection.  Configuration of C at C1 and C5 is the same (see also Table 1) → 𝝰-saccharide.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4">
            <w:pPr>
              <w:widowControl w:val="0"/>
              <w:spacing w:line="240" w:lineRule="auto"/>
              <w:rPr/>
            </w:pPr>
            <w:hyperlink r:id="rId24">
              <w:r w:rsidDel="00000000" w:rsidR="00000000" w:rsidRPr="00000000">
                <w:rPr>
                  <w:color w:val="1155cc"/>
                  <w:u w:val="single"/>
                  <w:rtl w:val="0"/>
                </w:rPr>
                <w:t xml:space="preserve">BMA</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widowControl w:val="0"/>
              <w:spacing w:line="240" w:lineRule="auto"/>
              <w:rPr/>
            </w:pPr>
            <w:r w:rsidDel="00000000" w:rsidR="00000000" w:rsidRPr="00000000">
              <w:rPr/>
              <w:drawing>
                <wp:inline distB="114300" distT="114300" distL="114300" distR="114300">
                  <wp:extent cx="1047750" cy="787400"/>
                  <wp:effectExtent b="0" l="0" r="0" t="0"/>
                  <wp:docPr id="25" name="image5.png"/>
                  <a:graphic>
                    <a:graphicData uri="http://schemas.openxmlformats.org/drawingml/2006/picture">
                      <pic:pic>
                        <pic:nvPicPr>
                          <pic:cNvPr id="0" name="image5.png"/>
                          <pic:cNvPicPr preferRelativeResize="0"/>
                        </pic:nvPicPr>
                        <pic:blipFill>
                          <a:blip r:embed="rId15"/>
                          <a:srcRect b="0" l="0" r="0" t="0"/>
                          <a:stretch>
                            <a:fillRect/>
                          </a:stretch>
                        </pic:blipFill>
                        <pic:spPr>
                          <a:xfrm>
                            <a:off x="0" y="0"/>
                            <a:ext cx="1047750" cy="787400"/>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widowControl w:val="0"/>
              <w:spacing w:line="240" w:lineRule="auto"/>
              <w:rPr/>
            </w:pPr>
            <w:r w:rsidDel="00000000" w:rsidR="00000000" w:rsidRPr="00000000">
              <w:rPr>
                <w:rtl w:val="0"/>
              </w:rPr>
            </w:r>
          </w:p>
        </w:tc>
      </w:tr>
      <w:tr>
        <w:trPr>
          <w:cantSplit w:val="0"/>
          <w:trHeight w:val="1576.621093750000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9">
            <w:pPr>
              <w:widowControl w:val="0"/>
              <w:spacing w:line="240" w:lineRule="auto"/>
              <w:rPr/>
            </w:pPr>
            <w:hyperlink r:id="rId25">
              <w:r w:rsidDel="00000000" w:rsidR="00000000" w:rsidRPr="00000000">
                <w:rPr>
                  <w:color w:val="1155cc"/>
                  <w:u w:val="single"/>
                  <w:rtl w:val="0"/>
                </w:rPr>
                <w:t xml:space="preserve">GAL</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widowControl w:val="0"/>
              <w:spacing w:line="240" w:lineRule="auto"/>
              <w:jc w:val="center"/>
              <w:rPr/>
            </w:pPr>
            <w:r w:rsidDel="00000000" w:rsidR="00000000" w:rsidRPr="00000000">
              <w:rPr/>
              <w:drawing>
                <wp:inline distB="114300" distT="114300" distL="114300" distR="114300">
                  <wp:extent cx="1047750" cy="812800"/>
                  <wp:effectExtent b="0" l="0" r="0" t="0"/>
                  <wp:docPr id="26" name="image7.png"/>
                  <a:graphic>
                    <a:graphicData uri="http://schemas.openxmlformats.org/drawingml/2006/picture">
                      <pic:pic>
                        <pic:nvPicPr>
                          <pic:cNvPr id="0" name="image7.png"/>
                          <pic:cNvPicPr preferRelativeResize="0"/>
                        </pic:nvPicPr>
                        <pic:blipFill>
                          <a:blip r:embed="rId17"/>
                          <a:srcRect b="0" l="0" r="0" t="0"/>
                          <a:stretch>
                            <a:fillRect/>
                          </a:stretch>
                        </pic:blipFill>
                        <pic:spPr>
                          <a:xfrm>
                            <a:off x="0" y="0"/>
                            <a:ext cx="1047750" cy="812800"/>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E">
            <w:pPr>
              <w:widowControl w:val="0"/>
              <w:spacing w:line="240" w:lineRule="auto"/>
              <w:rPr/>
            </w:pPr>
            <w:hyperlink r:id="rId26">
              <w:r w:rsidDel="00000000" w:rsidR="00000000" w:rsidRPr="00000000">
                <w:rPr>
                  <w:color w:val="1155cc"/>
                  <w:u w:val="single"/>
                  <w:rtl w:val="0"/>
                </w:rPr>
                <w:t xml:space="preserve">FRU</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widowControl w:val="0"/>
              <w:spacing w:line="240" w:lineRule="auto"/>
              <w:rPr/>
            </w:pPr>
            <w:r w:rsidDel="00000000" w:rsidR="00000000" w:rsidRPr="00000000">
              <w:rPr/>
              <w:drawing>
                <wp:inline distB="114300" distT="114300" distL="114300" distR="114300">
                  <wp:extent cx="1047750" cy="850900"/>
                  <wp:effectExtent b="0" l="0" r="0" t="0"/>
                  <wp:docPr id="28" name="image8.png"/>
                  <a:graphic>
                    <a:graphicData uri="http://schemas.openxmlformats.org/drawingml/2006/picture">
                      <pic:pic>
                        <pic:nvPicPr>
                          <pic:cNvPr id="0" name="image8.png"/>
                          <pic:cNvPicPr preferRelativeResize="0"/>
                        </pic:nvPicPr>
                        <pic:blipFill>
                          <a:blip r:embed="rId19"/>
                          <a:srcRect b="0" l="0" r="0" t="0"/>
                          <a:stretch>
                            <a:fillRect/>
                          </a:stretch>
                        </pic:blipFill>
                        <pic:spPr>
                          <a:xfrm>
                            <a:off x="0" y="0"/>
                            <a:ext cx="1047750" cy="850900"/>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3">
            <w:pPr>
              <w:widowControl w:val="0"/>
              <w:spacing w:line="240" w:lineRule="auto"/>
              <w:rPr/>
            </w:pPr>
            <w:hyperlink r:id="rId27">
              <w:r w:rsidDel="00000000" w:rsidR="00000000" w:rsidRPr="00000000">
                <w:rPr>
                  <w:color w:val="1155cc"/>
                  <w:u w:val="single"/>
                  <w:rtl w:val="0"/>
                </w:rPr>
                <w:t xml:space="preserve">SF6</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widowControl w:val="0"/>
              <w:spacing w:line="240" w:lineRule="auto"/>
              <w:rPr/>
            </w:pPr>
            <w:r w:rsidDel="00000000" w:rsidR="00000000" w:rsidRPr="00000000">
              <w:rPr/>
              <w:drawing>
                <wp:inline distB="114300" distT="114300" distL="114300" distR="114300">
                  <wp:extent cx="1047750" cy="889000"/>
                  <wp:effectExtent b="0" l="0" r="0" t="0"/>
                  <wp:docPr id="29" name="image9.png"/>
                  <a:graphic>
                    <a:graphicData uri="http://schemas.openxmlformats.org/drawingml/2006/picture">
                      <pic:pic>
                        <pic:nvPicPr>
                          <pic:cNvPr id="0" name="image9.png"/>
                          <pic:cNvPicPr preferRelativeResize="0"/>
                        </pic:nvPicPr>
                        <pic:blipFill>
                          <a:blip r:embed="rId21"/>
                          <a:srcRect b="0" l="0" r="0" t="0"/>
                          <a:stretch>
                            <a:fillRect/>
                          </a:stretch>
                        </pic:blipFill>
                        <pic:spPr>
                          <a:xfrm>
                            <a:off x="0" y="0"/>
                            <a:ext cx="1047750" cy="889000"/>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widowControl w:val="0"/>
              <w:spacing w:line="240" w:lineRule="auto"/>
              <w:rPr/>
            </w:pPr>
            <w:r w:rsidDel="00000000" w:rsidR="00000000" w:rsidRPr="00000000">
              <w:rPr>
                <w:rtl w:val="0"/>
              </w:rPr>
            </w:r>
          </w:p>
        </w:tc>
      </w:tr>
    </w:tbl>
    <w:p w:rsidR="00000000" w:rsidDel="00000000" w:rsidP="00000000" w:rsidRDefault="00000000" w:rsidRPr="00000000" w14:paraId="00000088">
      <w:pPr>
        <w:rPr/>
      </w:pPr>
      <w:r w:rsidDel="00000000" w:rsidR="00000000" w:rsidRPr="00000000">
        <w:rPr>
          <w:rtl w:val="0"/>
        </w:rPr>
      </w:r>
    </w:p>
    <w:sectPr>
      <w:headerReference r:id="rId28" w:type="default"/>
      <w:footerReference r:id="rId2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ambr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C">
    <w:pPr>
      <w:spacing w:line="276" w:lineRule="auto"/>
      <w:jc w:val="center"/>
      <w:rPr/>
    </w:pPr>
    <w:r w:rsidDel="00000000" w:rsidR="00000000" w:rsidRPr="00000000">
      <w:rPr/>
      <w:drawing>
        <wp:inline distB="114300" distT="114300" distL="114300" distR="114300">
          <wp:extent cx="785813" cy="366117"/>
          <wp:effectExtent b="0" l="0" r="0" t="0"/>
          <wp:docPr id="30"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85813" cy="366117"/>
                  </a:xfrm>
                  <a:prstGeom prst="rect"/>
                  <a:ln/>
                </pic:spPr>
              </pic:pic>
            </a:graphicData>
          </a:graphic>
        </wp:inline>
      </w:drawing>
    </w:r>
    <w:r w:rsidDel="00000000" w:rsidR="00000000" w:rsidRPr="00000000">
      <w:rPr>
        <w:rtl w:val="0"/>
      </w:rPr>
      <w:t xml:space="preserve"> </w:t>
    </w:r>
  </w:p>
  <w:p w:rsidR="00000000" w:rsidDel="00000000" w:rsidP="00000000" w:rsidRDefault="00000000" w:rsidRPr="00000000" w14:paraId="0000008D">
    <w:pPr>
      <w:spacing w:line="276" w:lineRule="auto"/>
      <w:jc w:val="center"/>
      <w:rPr>
        <w:sz w:val="16"/>
        <w:szCs w:val="16"/>
      </w:rPr>
    </w:pPr>
    <w:r w:rsidDel="00000000" w:rsidR="00000000" w:rsidRPr="00000000">
      <w:rPr>
        <w:sz w:val="16"/>
        <w:szCs w:val="16"/>
        <w:rtl w:val="0"/>
      </w:rPr>
      <w:t xml:space="preserve">Developed as part of the “Box of Lessons” during BioQuest/QUBES FMN in Spring 2022, under a </w:t>
    </w:r>
    <w:hyperlink r:id="rId2">
      <w:r w:rsidDel="00000000" w:rsidR="00000000" w:rsidRPr="00000000">
        <w:rPr>
          <w:color w:val="1155cc"/>
          <w:sz w:val="16"/>
          <w:szCs w:val="16"/>
          <w:u w:val="single"/>
          <w:rtl w:val="0"/>
        </w:rPr>
        <w:t xml:space="preserve">CC BY-NC-SA 4.0 license</w:t>
      </w:r>
    </w:hyperlink>
    <w:r w:rsidDel="00000000" w:rsidR="00000000" w:rsidRPr="00000000">
      <w:rPr>
        <w:sz w:val="16"/>
        <w:szCs w:val="16"/>
        <w:rtl w:val="0"/>
      </w:rPr>
      <w:t xml:space="preserve">. </w:t>
    </w:r>
  </w:p>
  <w:p w:rsidR="00000000" w:rsidDel="00000000" w:rsidP="00000000" w:rsidRDefault="00000000" w:rsidRPr="00000000" w14:paraId="0000008E">
    <w:pPr>
      <w:spacing w:line="276" w:lineRule="auto"/>
      <w:jc w:val="center"/>
      <w:rPr>
        <w:sz w:val="16"/>
        <w:szCs w:val="16"/>
      </w:rPr>
    </w:pPr>
    <w:r w:rsidDel="00000000" w:rsidR="00000000" w:rsidRPr="00000000">
      <w:rPr>
        <w:sz w:val="16"/>
        <w:szCs w:val="16"/>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9">
    <w:pPr>
      <w:jc w:val="center"/>
      <w:rPr>
        <w:sz w:val="18"/>
        <w:szCs w:val="18"/>
      </w:rPr>
    </w:pPr>
    <w:r w:rsidDel="00000000" w:rsidR="00000000" w:rsidRPr="00000000">
      <w:rPr>
        <w:rFonts w:ascii="Cambria" w:cs="Cambria" w:eastAsia="Cambria" w:hAnsi="Cambria"/>
        <w:sz w:val="16"/>
        <w:szCs w:val="16"/>
        <w:rtl w:val="0"/>
      </w:rPr>
      <w:t xml:space="preserve">Name: ________________________________________                                                                                                                         </w:t>
    </w:r>
    <w:r w:rsidDel="00000000" w:rsidR="00000000" w:rsidRPr="00000000">
      <w:rPr>
        <w:sz w:val="18"/>
        <w:szCs w:val="18"/>
        <w:rtl w:val="0"/>
      </w:rPr>
      <w:t xml:space="preserve">Exploring Monosaccharides</w:t>
    </w:r>
  </w:p>
  <w:p w:rsidR="00000000" w:rsidDel="00000000" w:rsidP="00000000" w:rsidRDefault="00000000" w:rsidRPr="00000000" w14:paraId="0000008A">
    <w:pPr>
      <w:spacing w:after="160" w:line="240" w:lineRule="auto"/>
      <w:rPr>
        <w:sz w:val="18"/>
        <w:szCs w:val="18"/>
      </w:rPr>
    </w:pPr>
    <w:r w:rsidDel="00000000" w:rsidR="00000000" w:rsidRPr="00000000">
      <w:rPr>
        <w:rFonts w:ascii="Cambria" w:cs="Cambria" w:eastAsia="Cambria" w:hAnsi="Cambria"/>
        <w:sz w:val="16"/>
        <w:szCs w:val="16"/>
        <w:rtl w:val="0"/>
      </w:rPr>
      <w:t xml:space="preserve">Date:________________________________________</w:t>
    </w:r>
    <w:r w:rsidDel="00000000" w:rsidR="00000000" w:rsidRPr="00000000">
      <w:rPr>
        <w:sz w:val="18"/>
        <w:szCs w:val="18"/>
        <w:rtl w:val="0"/>
      </w:rPr>
      <w:tab/>
      <w:tab/>
      <w:tab/>
      <w:tab/>
      <w:tab/>
      <w:tab/>
      <w:tab/>
      <w:tab/>
    </w:r>
    <w:r w:rsidDel="00000000" w:rsidR="00000000" w:rsidRPr="00000000">
      <w:rPr>
        <w:rFonts w:ascii="Cambria" w:cs="Cambria" w:eastAsia="Cambria" w:hAnsi="Cambria"/>
        <w:sz w:val="16"/>
        <w:szCs w:val="16"/>
        <w:rtl w:val="0"/>
      </w:rPr>
      <w:t xml:space="preserve">  </w:t>
    </w:r>
    <w:r w:rsidDel="00000000" w:rsidR="00000000" w:rsidRPr="00000000">
      <w:rPr>
        <w:rtl w:val="0"/>
      </w:rPr>
    </w:r>
  </w:p>
  <w:p w:rsidR="00000000" w:rsidDel="00000000" w:rsidP="00000000" w:rsidRDefault="00000000" w:rsidRPr="00000000" w14:paraId="0000008B">
    <w:pPr>
      <w:jc w:val="right"/>
      <w:rPr>
        <w:sz w:val="18"/>
        <w:szCs w:val="18"/>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rcsb.org/ligand/SF6" TargetMode="External"/><Relationship Id="rId22" Type="http://schemas.openxmlformats.org/officeDocument/2006/relationships/hyperlink" Target="https://www.rcsb.org/ligand/glc" TargetMode="External"/><Relationship Id="rId21" Type="http://schemas.openxmlformats.org/officeDocument/2006/relationships/image" Target="media/image9.png"/><Relationship Id="rId24" Type="http://schemas.openxmlformats.org/officeDocument/2006/relationships/hyperlink" Target="https://www.rcsb.org/ligand/BMA" TargetMode="External"/><Relationship Id="rId23" Type="http://schemas.openxmlformats.org/officeDocument/2006/relationships/image" Target="media/image6.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26" Type="http://schemas.openxmlformats.org/officeDocument/2006/relationships/hyperlink" Target="https://www.rcsb.org/ligand/FRU" TargetMode="External"/><Relationship Id="rId25" Type="http://schemas.openxmlformats.org/officeDocument/2006/relationships/hyperlink" Target="https://www.rcsb.org/ligand/GAL" TargetMode="External"/><Relationship Id="rId28" Type="http://schemas.openxmlformats.org/officeDocument/2006/relationships/header" Target="header1.xml"/><Relationship Id="rId27" Type="http://schemas.openxmlformats.org/officeDocument/2006/relationships/hyperlink" Target="https://www.rcsb.org/ligand/SF6"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footer" Target="footer1.xml"/><Relationship Id="rId7" Type="http://schemas.openxmlformats.org/officeDocument/2006/relationships/hyperlink" Target="https://www.asbmb.org/education/core-concept-teaching-strategies/foundational-concepts/structure-function" TargetMode="External"/><Relationship Id="rId8" Type="http://schemas.openxmlformats.org/officeDocument/2006/relationships/hyperlink" Target="https://www.rcsb.org/ligand/MAN" TargetMode="External"/><Relationship Id="rId11" Type="http://schemas.openxmlformats.org/officeDocument/2006/relationships/hyperlink" Target="https://www.rcsb.org/ligand/glc" TargetMode="External"/><Relationship Id="rId10" Type="http://schemas.openxmlformats.org/officeDocument/2006/relationships/image" Target="media/image4.png"/><Relationship Id="rId13" Type="http://schemas.openxmlformats.org/officeDocument/2006/relationships/image" Target="media/image10.png"/><Relationship Id="rId12" Type="http://schemas.openxmlformats.org/officeDocument/2006/relationships/image" Target="media/image1.png"/><Relationship Id="rId15" Type="http://schemas.openxmlformats.org/officeDocument/2006/relationships/image" Target="media/image5.png"/><Relationship Id="rId14" Type="http://schemas.openxmlformats.org/officeDocument/2006/relationships/hyperlink" Target="https://www.rcsb.org/ligand/BMA" TargetMode="External"/><Relationship Id="rId17" Type="http://schemas.openxmlformats.org/officeDocument/2006/relationships/image" Target="media/image7.png"/><Relationship Id="rId16" Type="http://schemas.openxmlformats.org/officeDocument/2006/relationships/hyperlink" Target="https://www.rcsb.org/ligand/GAL" TargetMode="External"/><Relationship Id="rId19" Type="http://schemas.openxmlformats.org/officeDocument/2006/relationships/image" Target="media/image8.png"/><Relationship Id="rId18" Type="http://schemas.openxmlformats.org/officeDocument/2006/relationships/hyperlink" Target="https://www.rcsb.org/ligand/FR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https://creativecommons.org/licenses/by-nc-sa/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wX97zi7f33n2cHKPA/b24gCyUw==">CgMxLjAyCGguZ2pkZ3hzOAByITFxQXpaRm9rMkRpOTJqb0FOakRXQ2FKM3MwR3QtdnAzNg==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