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CF324" w14:textId="77777777" w:rsidR="00555EC6" w:rsidRDefault="00BE45E0">
      <w:pPr>
        <w:pStyle w:val="Title"/>
        <w:jc w:val="center"/>
      </w:pPr>
      <w:bookmarkStart w:id="0" w:name="_skp54kqkq502" w:colFirst="0" w:colLast="0"/>
      <w:bookmarkEnd w:id="0"/>
      <w:r>
        <w:t>Protein Reagents for Testing</w:t>
      </w:r>
    </w:p>
    <w:p w14:paraId="00487776" w14:textId="77777777" w:rsidR="00555EC6" w:rsidRDefault="00BE45E0">
      <w:pPr>
        <w:pStyle w:val="Heading2"/>
        <w:tabs>
          <w:tab w:val="center" w:pos="4320"/>
          <w:tab w:val="right" w:pos="8640"/>
        </w:tabs>
        <w:rPr>
          <w:rFonts w:ascii="Calibri" w:eastAsia="Calibri" w:hAnsi="Calibri" w:cs="Calibri"/>
          <w:b/>
        </w:rPr>
      </w:pPr>
      <w:bookmarkStart w:id="1" w:name="_xd0udcp0t3k0" w:colFirst="0" w:colLast="0"/>
      <w:bookmarkEnd w:id="1"/>
      <w:r>
        <w:t xml:space="preserve">Learning Objectives: To explore the structures and properties of key proteins that play vital roles in the COVID-19 tests. Learning about this may help better understand the tests and its results. </w:t>
      </w:r>
    </w:p>
    <w:p w14:paraId="771B9300" w14:textId="77777777" w:rsidR="00555EC6" w:rsidRDefault="00BE45E0">
      <w:pPr>
        <w:pStyle w:val="Heading2"/>
      </w:pPr>
      <w:bookmarkStart w:id="2" w:name="_lw622h85na1x" w:colFirst="0" w:colLast="0"/>
      <w:bookmarkEnd w:id="2"/>
      <w:r>
        <w:t>Introduction</w:t>
      </w:r>
    </w:p>
    <w:p w14:paraId="77E35C7C" w14:textId="77777777" w:rsidR="00555EC6" w:rsidRDefault="00BE45E0">
      <w:pPr>
        <w:rPr>
          <w:rFonts w:ascii="Calibri" w:eastAsia="Calibri" w:hAnsi="Calibri" w:cs="Calibri"/>
        </w:rPr>
      </w:pPr>
      <w:r>
        <w:rPr>
          <w:rFonts w:ascii="Calibri" w:eastAsia="Calibri" w:hAnsi="Calibri" w:cs="Calibri"/>
        </w:rPr>
        <w:t xml:space="preserve">The tests for identifying both viral RNA and </w:t>
      </w:r>
      <w:r>
        <w:rPr>
          <w:rFonts w:ascii="Calibri" w:eastAsia="Calibri" w:hAnsi="Calibri" w:cs="Calibri"/>
        </w:rPr>
        <w:t>host immune response were well established many years ago. This exercise discusses key steps of the tests and reviews some proteins that play important roles in these processes. Understanding the structures and functions of these proteins will help student</w:t>
      </w:r>
      <w:r>
        <w:rPr>
          <w:rFonts w:ascii="Calibri" w:eastAsia="Calibri" w:hAnsi="Calibri" w:cs="Calibri"/>
        </w:rPr>
        <w:t>s appreciate how the tests are conducted.</w:t>
      </w:r>
    </w:p>
    <w:p w14:paraId="68600871" w14:textId="77777777" w:rsidR="00555EC6" w:rsidRDefault="00BE45E0">
      <w:pPr>
        <w:pStyle w:val="Heading2"/>
      </w:pPr>
      <w:bookmarkStart w:id="3" w:name="_vslglu7h77ur" w:colFirst="0" w:colLast="0"/>
      <w:bookmarkEnd w:id="3"/>
      <w:r>
        <w:t>Tools</w:t>
      </w:r>
    </w:p>
    <w:p w14:paraId="4730B995" w14:textId="77777777" w:rsidR="00555EC6" w:rsidRDefault="00BE45E0">
      <w:pPr>
        <w:numPr>
          <w:ilvl w:val="0"/>
          <w:numId w:val="6"/>
        </w:numPr>
        <w:rPr>
          <w:rFonts w:ascii="Calibri" w:eastAsia="Calibri" w:hAnsi="Calibri" w:cs="Calibri"/>
        </w:rPr>
      </w:pPr>
      <w:r>
        <w:rPr>
          <w:rFonts w:ascii="Calibri" w:eastAsia="Calibri" w:hAnsi="Calibri" w:cs="Calibri"/>
        </w:rPr>
        <w:t>The exercise will use data from the Protein Data Bank (</w:t>
      </w:r>
      <w:proofErr w:type="spellStart"/>
      <w:r>
        <w:rPr>
          <w:rFonts w:ascii="Calibri" w:eastAsia="Calibri" w:hAnsi="Calibri" w:cs="Calibri"/>
        </w:rPr>
        <w:t>PDB</w:t>
      </w:r>
      <w:proofErr w:type="spellEnd"/>
      <w:r>
        <w:rPr>
          <w:rFonts w:ascii="Calibri" w:eastAsia="Calibri" w:hAnsi="Calibri" w:cs="Calibri"/>
        </w:rPr>
        <w:t xml:space="preserve">) and </w:t>
      </w:r>
      <w:proofErr w:type="spellStart"/>
      <w:r>
        <w:rPr>
          <w:rFonts w:ascii="Calibri" w:eastAsia="Calibri" w:hAnsi="Calibri" w:cs="Calibri"/>
        </w:rPr>
        <w:t>UniProt</w:t>
      </w:r>
      <w:proofErr w:type="spellEnd"/>
      <w:r>
        <w:rPr>
          <w:rFonts w:ascii="Calibri" w:eastAsia="Calibri" w:hAnsi="Calibri" w:cs="Calibri"/>
        </w:rPr>
        <w:t xml:space="preserve"> for the visualization and learning about specific proteins. </w:t>
      </w:r>
    </w:p>
    <w:p w14:paraId="334C5D80" w14:textId="77777777" w:rsidR="00555EC6" w:rsidRDefault="00BE45E0">
      <w:pPr>
        <w:pStyle w:val="Heading2"/>
      </w:pPr>
      <w:bookmarkStart w:id="4" w:name="_g09blbnxodyz" w:colFirst="0" w:colLast="0"/>
      <w:bookmarkEnd w:id="4"/>
      <w:r>
        <w:t>Exploration</w:t>
      </w:r>
    </w:p>
    <w:p w14:paraId="13ABBF36" w14:textId="77777777" w:rsidR="00555EC6" w:rsidRDefault="00BE45E0">
      <w:pPr>
        <w:pStyle w:val="Heading3"/>
        <w:numPr>
          <w:ilvl w:val="0"/>
          <w:numId w:val="3"/>
        </w:numPr>
      </w:pPr>
      <w:bookmarkStart w:id="5" w:name="_n15a19zhb0i6" w:colFirst="0" w:colLast="0"/>
      <w:bookmarkEnd w:id="5"/>
      <w:r>
        <w:t xml:space="preserve">RT-PCR </w:t>
      </w:r>
      <w:r>
        <w:rPr>
          <w:rFonts w:ascii="Calibri" w:eastAsia="Calibri" w:hAnsi="Calibri" w:cs="Calibri"/>
        </w:rPr>
        <w:t xml:space="preserve"> </w:t>
      </w:r>
    </w:p>
    <w:p w14:paraId="3ED32793" w14:textId="631756DF" w:rsidR="00555EC6" w:rsidRDefault="00BE45E0">
      <w:pPr>
        <w:rPr>
          <w:rFonts w:ascii="Calibri" w:eastAsia="Calibri" w:hAnsi="Calibri" w:cs="Calibri"/>
        </w:rPr>
      </w:pPr>
      <w:r>
        <w:rPr>
          <w:rFonts w:ascii="Calibri" w:eastAsia="Calibri" w:hAnsi="Calibri" w:cs="Calibri"/>
        </w:rPr>
        <w:t>SARS-CoV-2 is a +</w:t>
      </w:r>
      <w:proofErr w:type="spellStart"/>
      <w:r>
        <w:rPr>
          <w:rFonts w:ascii="Calibri" w:eastAsia="Calibri" w:hAnsi="Calibri" w:cs="Calibri"/>
        </w:rPr>
        <w:t>ive</w:t>
      </w:r>
      <w:proofErr w:type="spellEnd"/>
      <w:r>
        <w:rPr>
          <w:rFonts w:ascii="Calibri" w:eastAsia="Calibri" w:hAnsi="Calibri" w:cs="Calibri"/>
        </w:rPr>
        <w:t xml:space="preserve"> stranded RNA virus. When it infec</w:t>
      </w:r>
      <w:r>
        <w:rPr>
          <w:rFonts w:ascii="Calibri" w:eastAsia="Calibri" w:hAnsi="Calibri" w:cs="Calibri"/>
        </w:rPr>
        <w:t xml:space="preserve">ts an individual it enters specific cells in the body and rapidly multiplies. One obvious sign of infection is presence of </w:t>
      </w:r>
      <w:r>
        <w:rPr>
          <w:rFonts w:ascii="Calibri" w:eastAsia="Calibri" w:hAnsi="Calibri" w:cs="Calibri"/>
        </w:rPr>
        <w:t xml:space="preserve">viral RNA in the patient sample. </w:t>
      </w:r>
    </w:p>
    <w:p w14:paraId="45A20BA4" w14:textId="77777777" w:rsidR="00555EC6" w:rsidRDefault="00BE45E0">
      <w:pPr>
        <w:numPr>
          <w:ilvl w:val="0"/>
          <w:numId w:val="2"/>
        </w:numPr>
        <w:rPr>
          <w:rFonts w:ascii="Calibri" w:eastAsia="Calibri" w:hAnsi="Calibri" w:cs="Calibri"/>
        </w:rPr>
      </w:pPr>
      <w:r>
        <w:rPr>
          <w:rFonts w:ascii="Calibri" w:eastAsia="Calibri" w:hAnsi="Calibri" w:cs="Calibri"/>
        </w:rPr>
        <w:t xml:space="preserve">The patient sample is commonly either nasal swabs or saliva. </w:t>
      </w:r>
    </w:p>
    <w:p w14:paraId="74A5793A" w14:textId="77777777" w:rsidR="00555EC6" w:rsidRDefault="00BE45E0">
      <w:pPr>
        <w:numPr>
          <w:ilvl w:val="0"/>
          <w:numId w:val="2"/>
        </w:numPr>
        <w:rPr>
          <w:rFonts w:ascii="Calibri" w:eastAsia="Calibri" w:hAnsi="Calibri" w:cs="Calibri"/>
        </w:rPr>
      </w:pPr>
      <w:r>
        <w:rPr>
          <w:rFonts w:ascii="Calibri" w:eastAsia="Calibri" w:hAnsi="Calibri" w:cs="Calibri"/>
        </w:rPr>
        <w:t xml:space="preserve">RNA is extracted from these samples </w:t>
      </w:r>
      <w:r>
        <w:rPr>
          <w:rFonts w:ascii="Calibri" w:eastAsia="Calibri" w:hAnsi="Calibri" w:cs="Calibri"/>
        </w:rPr>
        <w:t xml:space="preserve">and converted into DNA, using a Reverse Transcriptase (RT) enzyme. </w:t>
      </w:r>
    </w:p>
    <w:p w14:paraId="0B28A06F" w14:textId="77777777" w:rsidR="00555EC6" w:rsidRDefault="00555EC6">
      <w:pPr>
        <w:rPr>
          <w:rFonts w:ascii="Calibri" w:eastAsia="Calibri" w:hAnsi="Calibri" w:cs="Calibr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5EC6" w14:paraId="2A9C45D5" w14:textId="77777777">
        <w:tc>
          <w:tcPr>
            <w:tcW w:w="4680" w:type="dxa"/>
            <w:shd w:val="clear" w:color="auto" w:fill="auto"/>
            <w:tcMar>
              <w:top w:w="100" w:type="dxa"/>
              <w:left w:w="100" w:type="dxa"/>
              <w:bottom w:w="100" w:type="dxa"/>
              <w:right w:w="100" w:type="dxa"/>
            </w:tcMar>
          </w:tcPr>
          <w:p w14:paraId="309F6744" w14:textId="77777777" w:rsidR="00555EC6" w:rsidRDefault="00BE45E0">
            <w:pPr>
              <w:widowControl w:val="0"/>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0C894AB" wp14:editId="79FC205C">
                  <wp:extent cx="2286000" cy="2286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86000" cy="2286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E49643B" w14:textId="77777777" w:rsidR="00555EC6" w:rsidRDefault="00BE45E0">
            <w:pPr>
              <w:rPr>
                <w:rFonts w:ascii="Calibri" w:eastAsia="Calibri" w:hAnsi="Calibri" w:cs="Calibri"/>
              </w:rPr>
            </w:pPr>
            <w:r>
              <w:rPr>
                <w:rFonts w:ascii="Calibri" w:eastAsia="Calibri" w:hAnsi="Calibri" w:cs="Calibri"/>
              </w:rPr>
              <w:t xml:space="preserve">The RT for the tests is commonly derived from Moloney murine leukemia virus or </w:t>
            </w:r>
            <w:proofErr w:type="spellStart"/>
            <w:r>
              <w:rPr>
                <w:rFonts w:ascii="Calibri" w:eastAsia="Calibri" w:hAnsi="Calibri" w:cs="Calibri"/>
              </w:rPr>
              <w:t>MoMLV</w:t>
            </w:r>
            <w:proofErr w:type="spellEnd"/>
            <w:r>
              <w:rPr>
                <w:rFonts w:ascii="Calibri" w:eastAsia="Calibri" w:hAnsi="Calibri" w:cs="Calibri"/>
              </w:rPr>
              <w:t xml:space="preserve">. Structure of the </w:t>
            </w:r>
            <w:proofErr w:type="spellStart"/>
            <w:r>
              <w:rPr>
                <w:rFonts w:ascii="Calibri" w:eastAsia="Calibri" w:hAnsi="Calibri" w:cs="Calibri"/>
              </w:rPr>
              <w:t>MoMLV</w:t>
            </w:r>
            <w:proofErr w:type="spellEnd"/>
            <w:r>
              <w:rPr>
                <w:rFonts w:ascii="Calibri" w:eastAsia="Calibri" w:hAnsi="Calibri" w:cs="Calibri"/>
              </w:rPr>
              <w:t xml:space="preserve"> RT from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4mh8</w:t>
            </w:r>
            <w:proofErr w:type="spellEnd"/>
            <w:r>
              <w:rPr>
                <w:rFonts w:ascii="Calibri" w:eastAsia="Calibri" w:hAnsi="Calibri" w:cs="Calibri"/>
              </w:rPr>
              <w:t xml:space="preserve"> is shown here. </w:t>
            </w:r>
          </w:p>
          <w:p w14:paraId="1097250C" w14:textId="77777777" w:rsidR="00555EC6" w:rsidRDefault="00555EC6">
            <w:pPr>
              <w:rPr>
                <w:rFonts w:ascii="Calibri" w:eastAsia="Calibri" w:hAnsi="Calibri" w:cs="Calibri"/>
              </w:rPr>
            </w:pPr>
          </w:p>
          <w:p w14:paraId="1174E958" w14:textId="77777777" w:rsidR="00555EC6" w:rsidRDefault="00BE45E0">
            <w:pPr>
              <w:rPr>
                <w:rFonts w:ascii="Calibri" w:eastAsia="Calibri" w:hAnsi="Calibri" w:cs="Calibri"/>
              </w:rPr>
            </w:pPr>
            <w:r>
              <w:rPr>
                <w:rFonts w:ascii="Calibri" w:eastAsia="Calibri" w:hAnsi="Calibri" w:cs="Calibri"/>
              </w:rPr>
              <w:t>The enzyme has 2 domains, - RT and ribo</w:t>
            </w:r>
            <w:r>
              <w:rPr>
                <w:rFonts w:ascii="Calibri" w:eastAsia="Calibri" w:hAnsi="Calibri" w:cs="Calibri"/>
              </w:rPr>
              <w:t>nuclease H.</w:t>
            </w:r>
          </w:p>
          <w:p w14:paraId="4D28A059" w14:textId="77777777" w:rsidR="00555EC6" w:rsidRDefault="00555EC6">
            <w:pPr>
              <w:widowControl w:val="0"/>
              <w:pBdr>
                <w:top w:val="nil"/>
                <w:left w:val="nil"/>
                <w:bottom w:val="nil"/>
                <w:right w:val="nil"/>
                <w:between w:val="nil"/>
              </w:pBdr>
              <w:spacing w:line="240" w:lineRule="auto"/>
              <w:rPr>
                <w:rFonts w:ascii="Calibri" w:eastAsia="Calibri" w:hAnsi="Calibri" w:cs="Calibri"/>
              </w:rPr>
            </w:pPr>
          </w:p>
        </w:tc>
      </w:tr>
    </w:tbl>
    <w:p w14:paraId="482FCB81" w14:textId="77777777" w:rsidR="00555EC6" w:rsidRDefault="00555EC6">
      <w:pPr>
        <w:rPr>
          <w:rFonts w:ascii="Calibri" w:eastAsia="Calibri" w:hAnsi="Calibri" w:cs="Calibri"/>
        </w:rPr>
      </w:pPr>
    </w:p>
    <w:p w14:paraId="6C9EE682" w14:textId="77777777" w:rsidR="00555EC6" w:rsidRDefault="00BE45E0">
      <w:pPr>
        <w:pStyle w:val="Heading3"/>
      </w:pPr>
      <w:bookmarkStart w:id="6" w:name="_k5s1kf9obrjw" w:colFirst="0" w:colLast="0"/>
      <w:bookmarkEnd w:id="6"/>
      <w:r>
        <w:t xml:space="preserve">A1. Which of the following is correct about the function of </w:t>
      </w:r>
      <w:proofErr w:type="spellStart"/>
      <w:r>
        <w:t>MoMLV</w:t>
      </w:r>
      <w:proofErr w:type="spellEnd"/>
      <w:r>
        <w:t xml:space="preserve"> RT</w:t>
      </w:r>
    </w:p>
    <w:p w14:paraId="26FDF07B" w14:textId="77777777" w:rsidR="00555EC6" w:rsidRDefault="00BE45E0">
      <w:pPr>
        <w:numPr>
          <w:ilvl w:val="0"/>
          <w:numId w:val="7"/>
        </w:numPr>
        <w:rPr>
          <w:rFonts w:ascii="Calibri" w:eastAsia="Calibri" w:hAnsi="Calibri" w:cs="Calibri"/>
        </w:rPr>
      </w:pPr>
      <w:r>
        <w:rPr>
          <w:rFonts w:ascii="Calibri" w:eastAsia="Calibri" w:hAnsi="Calibri" w:cs="Calibri"/>
        </w:rPr>
        <w:t>It can make DNA based on an RNA template</w:t>
      </w:r>
    </w:p>
    <w:p w14:paraId="76FF5DD8" w14:textId="77777777" w:rsidR="00555EC6" w:rsidRDefault="00BE45E0">
      <w:pPr>
        <w:numPr>
          <w:ilvl w:val="0"/>
          <w:numId w:val="7"/>
        </w:numPr>
        <w:rPr>
          <w:rFonts w:ascii="Calibri" w:eastAsia="Calibri" w:hAnsi="Calibri" w:cs="Calibri"/>
        </w:rPr>
      </w:pPr>
      <w:r>
        <w:rPr>
          <w:rFonts w:ascii="Calibri" w:eastAsia="Calibri" w:hAnsi="Calibri" w:cs="Calibri"/>
        </w:rPr>
        <w:t>It can made DNA based on a DNA template</w:t>
      </w:r>
    </w:p>
    <w:p w14:paraId="3DC02C64" w14:textId="77777777" w:rsidR="00555EC6" w:rsidRDefault="00BE45E0">
      <w:pPr>
        <w:numPr>
          <w:ilvl w:val="0"/>
          <w:numId w:val="7"/>
        </w:numPr>
        <w:rPr>
          <w:rFonts w:ascii="Calibri" w:eastAsia="Calibri" w:hAnsi="Calibri" w:cs="Calibri"/>
        </w:rPr>
      </w:pPr>
      <w:r>
        <w:rPr>
          <w:rFonts w:ascii="Calibri" w:eastAsia="Calibri" w:hAnsi="Calibri" w:cs="Calibri"/>
        </w:rPr>
        <w:t>It can make RNA based on a DNA template</w:t>
      </w:r>
    </w:p>
    <w:p w14:paraId="1073DB29" w14:textId="77777777" w:rsidR="00555EC6" w:rsidRDefault="00BE45E0">
      <w:pPr>
        <w:numPr>
          <w:ilvl w:val="0"/>
          <w:numId w:val="7"/>
        </w:numPr>
        <w:rPr>
          <w:rFonts w:ascii="Calibri" w:eastAsia="Calibri" w:hAnsi="Calibri" w:cs="Calibri"/>
        </w:rPr>
      </w:pPr>
      <w:r>
        <w:rPr>
          <w:rFonts w:ascii="Calibri" w:eastAsia="Calibri" w:hAnsi="Calibri" w:cs="Calibri"/>
        </w:rPr>
        <w:t xml:space="preserve">It can make DNA based on both RNA and DNA templates. </w:t>
      </w:r>
    </w:p>
    <w:p w14:paraId="47AB7DC6" w14:textId="77777777" w:rsidR="00555EC6" w:rsidRDefault="00BE45E0">
      <w:pPr>
        <w:pStyle w:val="Heading3"/>
      </w:pPr>
      <w:bookmarkStart w:id="7" w:name="_x7doq0486zko" w:colFirst="0" w:colLast="0"/>
      <w:bookmarkEnd w:id="7"/>
      <w:proofErr w:type="spellStart"/>
      <w:r>
        <w:t>A2</w:t>
      </w:r>
      <w:proofErr w:type="spellEnd"/>
      <w:r>
        <w:t xml:space="preserve">. What does the ribonuclease H domain do? </w:t>
      </w:r>
    </w:p>
    <w:p w14:paraId="1904F285" w14:textId="77777777" w:rsidR="00555EC6" w:rsidRDefault="00BE45E0">
      <w:r>
        <w:t>Hint: you can find out more from the abstract describing the structure (</w:t>
      </w:r>
      <w:proofErr w:type="spellStart"/>
      <w:r>
        <w:t>PDB</w:t>
      </w:r>
      <w:proofErr w:type="spellEnd"/>
      <w:r>
        <w:t xml:space="preserve"> ID </w:t>
      </w:r>
      <w:proofErr w:type="spellStart"/>
      <w:r>
        <w:t>4mh8</w:t>
      </w:r>
      <w:proofErr w:type="spellEnd"/>
      <w:r>
        <w:t xml:space="preserve">, </w:t>
      </w:r>
      <w:hyperlink r:id="rId8">
        <w:r>
          <w:rPr>
            <w:color w:val="1155CC"/>
            <w:u w:val="single"/>
          </w:rPr>
          <w:t>https://www.rcsb.</w:t>
        </w:r>
        <w:r>
          <w:rPr>
            <w:color w:val="1155CC"/>
            <w:u w:val="single"/>
          </w:rPr>
          <w:t>org/structure/4mh8</w:t>
        </w:r>
      </w:hyperlink>
      <w:r>
        <w:t xml:space="preserve">) or from </w:t>
      </w:r>
      <w:proofErr w:type="spellStart"/>
      <w:r>
        <w:t>UniProt</w:t>
      </w:r>
      <w:proofErr w:type="spellEnd"/>
      <w:r>
        <w:t xml:space="preserve"> (</w:t>
      </w:r>
      <w:hyperlink r:id="rId9" w:anchor="function">
        <w:r>
          <w:rPr>
            <w:color w:val="1155CC"/>
            <w:u w:val="single"/>
          </w:rPr>
          <w:t>https://www.uniprot.org/uniprot/P03355#function</w:t>
        </w:r>
      </w:hyperlink>
      <w:r>
        <w:t xml:space="preserve">) </w:t>
      </w:r>
    </w:p>
    <w:p w14:paraId="6DD886C5" w14:textId="77777777" w:rsidR="00555EC6" w:rsidRDefault="00555EC6">
      <w:pPr>
        <w:rPr>
          <w:rFonts w:ascii="Calibri" w:eastAsia="Calibri" w:hAnsi="Calibri" w:cs="Calibri"/>
        </w:rPr>
      </w:pPr>
    </w:p>
    <w:p w14:paraId="26B72516" w14:textId="77777777" w:rsidR="00555EC6" w:rsidRDefault="00BE45E0">
      <w:pPr>
        <w:rPr>
          <w:color w:val="434343"/>
          <w:sz w:val="28"/>
          <w:szCs w:val="28"/>
        </w:rPr>
      </w:pPr>
      <w:r>
        <w:rPr>
          <w:color w:val="0000FF"/>
        </w:rPr>
        <w:t xml:space="preserve"> </w:t>
      </w:r>
      <w:r>
        <w:pict w14:anchorId="58726B1F">
          <v:rect id="_x0000_i1025" style="width:0;height:1.5pt" o:hralign="center" o:hrstd="t" o:hr="t" fillcolor="#a0a0a0" stroked="f"/>
        </w:pict>
      </w:r>
    </w:p>
    <w:p w14:paraId="5B1677A9" w14:textId="77777777" w:rsidR="00555EC6" w:rsidRDefault="00BE45E0">
      <w:pPr>
        <w:rPr>
          <w:rFonts w:ascii="Calibri" w:eastAsia="Calibri" w:hAnsi="Calibri" w:cs="Calibri"/>
        </w:rPr>
      </w:pPr>
      <w:r>
        <w:rPr>
          <w:rFonts w:ascii="Calibri" w:eastAsia="Calibri" w:hAnsi="Calibri" w:cs="Calibri"/>
        </w:rPr>
        <w:t xml:space="preserve"> </w:t>
      </w:r>
    </w:p>
    <w:p w14:paraId="07F970DB" w14:textId="77777777" w:rsidR="00555EC6" w:rsidRDefault="00BE45E0">
      <w:pPr>
        <w:numPr>
          <w:ilvl w:val="0"/>
          <w:numId w:val="5"/>
        </w:numPr>
        <w:rPr>
          <w:rFonts w:ascii="Calibri" w:eastAsia="Calibri" w:hAnsi="Calibri" w:cs="Calibri"/>
        </w:rPr>
      </w:pPr>
      <w:r>
        <w:rPr>
          <w:rFonts w:ascii="Calibri" w:eastAsia="Calibri" w:hAnsi="Calibri" w:cs="Calibri"/>
        </w:rPr>
        <w:t xml:space="preserve">Short primers corresponding to genes of the SARS-CoV-2 proteins are used to bind to the reverse transcribed viral DNA. Using a Polymerase Chain Reaction (PCR) the primers are extended and the viral signatures are amplified by the Taq polymerase. </w:t>
      </w:r>
    </w:p>
    <w:p w14:paraId="076B289A" w14:textId="77777777" w:rsidR="00555EC6" w:rsidRDefault="00BE45E0">
      <w:pPr>
        <w:numPr>
          <w:ilvl w:val="0"/>
          <w:numId w:val="5"/>
        </w:numPr>
        <w:rPr>
          <w:rFonts w:ascii="Calibri" w:eastAsia="Calibri" w:hAnsi="Calibri" w:cs="Calibri"/>
        </w:rPr>
      </w:pPr>
      <w:r>
        <w:rPr>
          <w:rFonts w:ascii="Calibri" w:eastAsia="Calibri" w:hAnsi="Calibri" w:cs="Calibri"/>
        </w:rPr>
        <w:t>The ampli</w:t>
      </w:r>
      <w:r>
        <w:rPr>
          <w:rFonts w:ascii="Calibri" w:eastAsia="Calibri" w:hAnsi="Calibri" w:cs="Calibri"/>
        </w:rPr>
        <w:t xml:space="preserve">fied DNA signal is read off using fluorescent probes. </w:t>
      </w:r>
    </w:p>
    <w:p w14:paraId="35014169" w14:textId="77777777" w:rsidR="00555EC6" w:rsidRDefault="00555EC6">
      <w:pPr>
        <w:rPr>
          <w:rFonts w:ascii="Calibri" w:eastAsia="Calibri" w:hAnsi="Calibri" w:cs="Calibri"/>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5EC6" w14:paraId="6A9AEC7C" w14:textId="77777777">
        <w:tc>
          <w:tcPr>
            <w:tcW w:w="4680" w:type="dxa"/>
            <w:shd w:val="clear" w:color="auto" w:fill="auto"/>
            <w:tcMar>
              <w:top w:w="100" w:type="dxa"/>
              <w:left w:w="100" w:type="dxa"/>
              <w:bottom w:w="100" w:type="dxa"/>
              <w:right w:w="100" w:type="dxa"/>
            </w:tcMar>
          </w:tcPr>
          <w:p w14:paraId="0C372C18" w14:textId="77777777" w:rsidR="00555EC6" w:rsidRDefault="00BE45E0">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8846E49" wp14:editId="4B87C12F">
                  <wp:extent cx="1828800" cy="183794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28800" cy="1837944"/>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BA34B1E" w14:textId="77777777" w:rsidR="00555EC6" w:rsidRDefault="00BE45E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structure of Taq polymerase from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1tau</w:t>
            </w:r>
            <w:proofErr w:type="spellEnd"/>
            <w:r>
              <w:rPr>
                <w:rFonts w:ascii="Calibri" w:eastAsia="Calibri" w:hAnsi="Calibri" w:cs="Calibri"/>
              </w:rPr>
              <w:t xml:space="preserve"> is shown here bound to DNA.</w:t>
            </w:r>
          </w:p>
          <w:p w14:paraId="028592CC" w14:textId="77777777" w:rsidR="00555EC6" w:rsidRDefault="00555EC6">
            <w:pPr>
              <w:widowControl w:val="0"/>
              <w:pBdr>
                <w:top w:val="nil"/>
                <w:left w:val="nil"/>
                <w:bottom w:val="nil"/>
                <w:right w:val="nil"/>
                <w:between w:val="nil"/>
              </w:pBdr>
              <w:spacing w:line="240" w:lineRule="auto"/>
              <w:rPr>
                <w:rFonts w:ascii="Calibri" w:eastAsia="Calibri" w:hAnsi="Calibri" w:cs="Calibri"/>
              </w:rPr>
            </w:pPr>
          </w:p>
          <w:p w14:paraId="595D47DE" w14:textId="77777777" w:rsidR="00555EC6" w:rsidRDefault="00BE45E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enzyme also has two domains - N-terminal 5’-3’ exonuclease and C-terminal polymerase.</w:t>
            </w:r>
          </w:p>
        </w:tc>
      </w:tr>
    </w:tbl>
    <w:p w14:paraId="546F43E9" w14:textId="77777777" w:rsidR="00555EC6" w:rsidRDefault="00BE45E0">
      <w:pPr>
        <w:pStyle w:val="Heading3"/>
      </w:pPr>
      <w:bookmarkStart w:id="8" w:name="_99na3wjs9ksq" w:colFirst="0" w:colLast="0"/>
      <w:bookmarkEnd w:id="8"/>
      <w:proofErr w:type="spellStart"/>
      <w:r>
        <w:t>A3</w:t>
      </w:r>
      <w:proofErr w:type="spellEnd"/>
      <w:r>
        <w:t>. Which of the following is correct about the function of Taq polymerase</w:t>
      </w:r>
    </w:p>
    <w:p w14:paraId="4B8D2CF1" w14:textId="77777777" w:rsidR="00555EC6" w:rsidRDefault="00BE45E0">
      <w:pPr>
        <w:numPr>
          <w:ilvl w:val="0"/>
          <w:numId w:val="1"/>
        </w:numPr>
        <w:rPr>
          <w:rFonts w:ascii="Calibri" w:eastAsia="Calibri" w:hAnsi="Calibri" w:cs="Calibri"/>
        </w:rPr>
      </w:pPr>
      <w:r>
        <w:rPr>
          <w:rFonts w:ascii="Calibri" w:eastAsia="Calibri" w:hAnsi="Calibri" w:cs="Calibri"/>
        </w:rPr>
        <w:t>It can make DNA based on an RNA template</w:t>
      </w:r>
    </w:p>
    <w:p w14:paraId="0201F797" w14:textId="77777777" w:rsidR="00555EC6" w:rsidRDefault="00BE45E0">
      <w:pPr>
        <w:numPr>
          <w:ilvl w:val="0"/>
          <w:numId w:val="1"/>
        </w:numPr>
        <w:rPr>
          <w:rFonts w:ascii="Calibri" w:eastAsia="Calibri" w:hAnsi="Calibri" w:cs="Calibri"/>
        </w:rPr>
      </w:pPr>
      <w:r>
        <w:rPr>
          <w:rFonts w:ascii="Calibri" w:eastAsia="Calibri" w:hAnsi="Calibri" w:cs="Calibri"/>
        </w:rPr>
        <w:t>It can made DNA based on a DNA template</w:t>
      </w:r>
    </w:p>
    <w:p w14:paraId="20840DC3" w14:textId="77777777" w:rsidR="00555EC6" w:rsidRDefault="00BE45E0">
      <w:pPr>
        <w:numPr>
          <w:ilvl w:val="0"/>
          <w:numId w:val="1"/>
        </w:numPr>
        <w:rPr>
          <w:rFonts w:ascii="Calibri" w:eastAsia="Calibri" w:hAnsi="Calibri" w:cs="Calibri"/>
        </w:rPr>
      </w:pPr>
      <w:r>
        <w:rPr>
          <w:rFonts w:ascii="Calibri" w:eastAsia="Calibri" w:hAnsi="Calibri" w:cs="Calibri"/>
        </w:rPr>
        <w:t>It can make RNA based on a DNA template</w:t>
      </w:r>
    </w:p>
    <w:p w14:paraId="0510A446" w14:textId="77777777" w:rsidR="00555EC6" w:rsidRDefault="00BE45E0">
      <w:pPr>
        <w:numPr>
          <w:ilvl w:val="0"/>
          <w:numId w:val="1"/>
        </w:numPr>
        <w:rPr>
          <w:rFonts w:ascii="Calibri" w:eastAsia="Calibri" w:hAnsi="Calibri" w:cs="Calibri"/>
        </w:rPr>
      </w:pPr>
      <w:r>
        <w:rPr>
          <w:rFonts w:ascii="Calibri" w:eastAsia="Calibri" w:hAnsi="Calibri" w:cs="Calibri"/>
        </w:rPr>
        <w:t xml:space="preserve">It can make DNA based on both RNA and DNA templates. </w:t>
      </w:r>
    </w:p>
    <w:p w14:paraId="6A7ABEE9" w14:textId="77777777" w:rsidR="00555EC6" w:rsidRDefault="00555EC6">
      <w:pPr>
        <w:rPr>
          <w:rFonts w:ascii="Calibri" w:eastAsia="Calibri" w:hAnsi="Calibri" w:cs="Calibri"/>
        </w:rPr>
      </w:pPr>
    </w:p>
    <w:p w14:paraId="01FAD44E" w14:textId="77777777" w:rsidR="00555EC6" w:rsidRDefault="00BE45E0">
      <w:pPr>
        <w:pStyle w:val="Heading3"/>
      </w:pPr>
      <w:bookmarkStart w:id="9" w:name="_2zfcacsgclh4" w:colFirst="0" w:colLast="0"/>
      <w:bookmarkEnd w:id="9"/>
      <w:proofErr w:type="spellStart"/>
      <w:r>
        <w:t>A4</w:t>
      </w:r>
      <w:proofErr w:type="spellEnd"/>
      <w:r>
        <w:t>. W</w:t>
      </w:r>
      <w:r>
        <w:t xml:space="preserve">hat does the 5’-3’ exonuclease domain do? </w:t>
      </w:r>
    </w:p>
    <w:p w14:paraId="0EAF57C8" w14:textId="77777777" w:rsidR="00555EC6" w:rsidRDefault="00BE45E0">
      <w:r>
        <w:t>Hint: you can find out more from the abstract describing the structure (</w:t>
      </w:r>
      <w:proofErr w:type="spellStart"/>
      <w:r>
        <w:t>PDB</w:t>
      </w:r>
      <w:proofErr w:type="spellEnd"/>
      <w:r>
        <w:t xml:space="preserve"> ID </w:t>
      </w:r>
      <w:proofErr w:type="spellStart"/>
      <w:r>
        <w:t>1tau</w:t>
      </w:r>
      <w:proofErr w:type="spellEnd"/>
      <w:r>
        <w:t xml:space="preserve">, </w:t>
      </w:r>
      <w:hyperlink r:id="rId11">
        <w:r>
          <w:rPr>
            <w:color w:val="1155CC"/>
            <w:u w:val="single"/>
          </w:rPr>
          <w:t>https://www.rcsb.org/structure/1tau</w:t>
        </w:r>
      </w:hyperlink>
      <w:r>
        <w:t xml:space="preserve">) or from </w:t>
      </w:r>
      <w:proofErr w:type="spellStart"/>
      <w:r>
        <w:t>UniProt</w:t>
      </w:r>
      <w:proofErr w:type="spellEnd"/>
      <w:r>
        <w:t xml:space="preserve"> (</w:t>
      </w:r>
      <w:hyperlink r:id="rId12">
        <w:r>
          <w:rPr>
            <w:color w:val="1155CC"/>
            <w:u w:val="single"/>
          </w:rPr>
          <w:t>https://www.uniprot.org/uniprot/P19821</w:t>
        </w:r>
      </w:hyperlink>
      <w:r>
        <w:t>).</w:t>
      </w:r>
    </w:p>
    <w:p w14:paraId="77C743E9" w14:textId="77777777" w:rsidR="00555EC6" w:rsidRDefault="00555EC6">
      <w:pPr>
        <w:rPr>
          <w:rFonts w:ascii="Calibri" w:eastAsia="Calibri" w:hAnsi="Calibri" w:cs="Calibri"/>
        </w:rPr>
      </w:pPr>
    </w:p>
    <w:p w14:paraId="32853197" w14:textId="77777777" w:rsidR="00555EC6" w:rsidRDefault="00BE45E0">
      <w:pPr>
        <w:rPr>
          <w:color w:val="434343"/>
          <w:sz w:val="28"/>
          <w:szCs w:val="28"/>
        </w:rPr>
      </w:pPr>
      <w:r>
        <w:pict w14:anchorId="320AF9AC">
          <v:rect id="_x0000_i1026" style="width:0;height:1.5pt" o:hralign="center" o:hrstd="t" o:hr="t" fillcolor="#a0a0a0" stroked="f"/>
        </w:pict>
      </w:r>
    </w:p>
    <w:p w14:paraId="3ACC2FB8" w14:textId="77777777" w:rsidR="00555EC6" w:rsidRDefault="00555EC6">
      <w:pPr>
        <w:rPr>
          <w:rFonts w:ascii="Calibri" w:eastAsia="Calibri" w:hAnsi="Calibri" w:cs="Calibri"/>
        </w:rPr>
      </w:pPr>
    </w:p>
    <w:p w14:paraId="464F72B8" w14:textId="77777777" w:rsidR="00555EC6" w:rsidRDefault="00BE45E0">
      <w:pPr>
        <w:pStyle w:val="Heading3"/>
      </w:pPr>
      <w:bookmarkStart w:id="10" w:name="_glurx9nb0paq" w:colFirst="0" w:colLast="0"/>
      <w:bookmarkEnd w:id="10"/>
      <w:proofErr w:type="spellStart"/>
      <w:r>
        <w:t>A5</w:t>
      </w:r>
      <w:proofErr w:type="spellEnd"/>
      <w:r>
        <w:t xml:space="preserve">. Taq polymerase is </w:t>
      </w:r>
      <w:proofErr w:type="spellStart"/>
      <w:r>
        <w:t>specially</w:t>
      </w:r>
      <w:proofErr w:type="spellEnd"/>
      <w:r>
        <w:t xml:space="preserve"> suited for use in the PCR cycles. Why are other DNA polymerases such as the E.coli </w:t>
      </w:r>
      <w:proofErr w:type="spellStart"/>
      <w:r>
        <w:t>Klenow</w:t>
      </w:r>
      <w:proofErr w:type="spellEnd"/>
      <w:r>
        <w:t xml:space="preserve"> fragment not used? </w:t>
      </w:r>
    </w:p>
    <w:p w14:paraId="70F0E49E" w14:textId="77777777" w:rsidR="00555EC6" w:rsidRDefault="00555EC6">
      <w:pPr>
        <w:rPr>
          <w:rFonts w:ascii="Calibri" w:eastAsia="Calibri" w:hAnsi="Calibri" w:cs="Calibri"/>
        </w:rPr>
      </w:pPr>
    </w:p>
    <w:p w14:paraId="647F7131" w14:textId="77777777" w:rsidR="00555EC6" w:rsidRDefault="00BE45E0">
      <w:pPr>
        <w:rPr>
          <w:color w:val="434343"/>
          <w:sz w:val="28"/>
          <w:szCs w:val="28"/>
        </w:rPr>
      </w:pPr>
      <w:r>
        <w:rPr>
          <w:color w:val="0000FF"/>
        </w:rPr>
        <w:t xml:space="preserve"> </w:t>
      </w:r>
      <w:r>
        <w:pict w14:anchorId="6A190DE7">
          <v:rect id="_x0000_i1027" style="width:0;height:1.5pt" o:hralign="center" o:hrstd="t" o:hr="t" fillcolor="#a0a0a0" stroked="f"/>
        </w:pict>
      </w:r>
    </w:p>
    <w:p w14:paraId="08263EF1" w14:textId="77777777" w:rsidR="00555EC6" w:rsidRDefault="00555EC6"/>
    <w:p w14:paraId="0468A94A" w14:textId="77777777" w:rsidR="004F11BE" w:rsidRDefault="004F11BE">
      <w:pPr>
        <w:rPr>
          <w:color w:val="434343"/>
          <w:sz w:val="28"/>
          <w:szCs w:val="28"/>
        </w:rPr>
      </w:pPr>
      <w:bookmarkStart w:id="11" w:name="_g7yozyi9vbie" w:colFirst="0" w:colLast="0"/>
      <w:bookmarkEnd w:id="11"/>
      <w:r>
        <w:br w:type="page"/>
      </w:r>
    </w:p>
    <w:p w14:paraId="3E496ABC" w14:textId="47EA5917" w:rsidR="00555EC6" w:rsidRDefault="00BE45E0">
      <w:pPr>
        <w:pStyle w:val="Heading3"/>
        <w:rPr>
          <w:rFonts w:ascii="Calibri" w:eastAsia="Calibri" w:hAnsi="Calibri" w:cs="Calibri"/>
        </w:rPr>
      </w:pPr>
      <w:r>
        <w:lastRenderedPageBreak/>
        <w:t xml:space="preserve">B. ELISA </w:t>
      </w:r>
      <w:r>
        <w:rPr>
          <w:rFonts w:ascii="Calibri" w:eastAsia="Calibri" w:hAnsi="Calibri" w:cs="Calibri"/>
        </w:rPr>
        <w:t xml:space="preserve"> </w:t>
      </w:r>
    </w:p>
    <w:p w14:paraId="21907734" w14:textId="77777777" w:rsidR="00555EC6" w:rsidRDefault="00BE45E0">
      <w:pPr>
        <w:rPr>
          <w:rFonts w:ascii="Calibri" w:eastAsia="Calibri" w:hAnsi="Calibri" w:cs="Calibri"/>
        </w:rPr>
      </w:pPr>
      <w:r>
        <w:rPr>
          <w:rFonts w:ascii="Calibri" w:eastAsia="Calibri" w:hAnsi="Calibri" w:cs="Calibri"/>
        </w:rPr>
        <w:t>Individuals wh</w:t>
      </w:r>
      <w:r>
        <w:rPr>
          <w:rFonts w:ascii="Calibri" w:eastAsia="Calibri" w:hAnsi="Calibri" w:cs="Calibri"/>
        </w:rPr>
        <w:t>o have been exposed to or infected with SARS-CoV-2 usually mount an immune response. In the initial stages it is mostly innate immune response but over time the adaptive immune response will also occur - i.e., the individuals will make immunoglobulin M (or</w:t>
      </w:r>
      <w:r>
        <w:rPr>
          <w:rFonts w:ascii="Calibri" w:eastAsia="Calibri" w:hAnsi="Calibri" w:cs="Calibri"/>
        </w:rPr>
        <w:t xml:space="preserve"> IgM) and then over time immunoglobulin G or (IgG).</w:t>
      </w:r>
    </w:p>
    <w:p w14:paraId="3E39D59D" w14:textId="77777777" w:rsidR="00555EC6" w:rsidRDefault="00555EC6">
      <w:pPr>
        <w:rPr>
          <w:rFonts w:ascii="Calibri" w:eastAsia="Calibri" w:hAnsi="Calibri" w:cs="Calibri"/>
        </w:rPr>
      </w:pPr>
    </w:p>
    <w:p w14:paraId="4BC4CC10" w14:textId="77777777" w:rsidR="00555EC6" w:rsidRDefault="00BE45E0">
      <w:pPr>
        <w:numPr>
          <w:ilvl w:val="0"/>
          <w:numId w:val="4"/>
        </w:numPr>
        <w:rPr>
          <w:rFonts w:ascii="Calibri" w:eastAsia="Calibri" w:hAnsi="Calibri" w:cs="Calibri"/>
        </w:rPr>
      </w:pPr>
      <w:r>
        <w:rPr>
          <w:rFonts w:ascii="Calibri" w:eastAsia="Calibri" w:hAnsi="Calibri" w:cs="Calibri"/>
        </w:rPr>
        <w:t xml:space="preserve">The assay begins with drawing blood from patients. </w:t>
      </w:r>
    </w:p>
    <w:p w14:paraId="57D56E75" w14:textId="77777777" w:rsidR="00555EC6" w:rsidRDefault="00BE45E0">
      <w:pPr>
        <w:numPr>
          <w:ilvl w:val="0"/>
          <w:numId w:val="4"/>
        </w:numPr>
        <w:rPr>
          <w:rFonts w:ascii="Calibri" w:eastAsia="Calibri" w:hAnsi="Calibri" w:cs="Calibri"/>
        </w:rPr>
      </w:pPr>
      <w:r>
        <w:rPr>
          <w:rFonts w:ascii="Calibri" w:eastAsia="Calibri" w:hAnsi="Calibri" w:cs="Calibri"/>
        </w:rPr>
        <w:t>Antigens from SARS-CoV-2 are fixed on to the experimental set up - e.g., plastic well/plate.</w:t>
      </w:r>
    </w:p>
    <w:p w14:paraId="31FB66E1" w14:textId="77777777" w:rsidR="00555EC6" w:rsidRDefault="00BE45E0">
      <w:pPr>
        <w:numPr>
          <w:ilvl w:val="0"/>
          <w:numId w:val="4"/>
        </w:numPr>
        <w:rPr>
          <w:rFonts w:ascii="Calibri" w:eastAsia="Calibri" w:hAnsi="Calibri" w:cs="Calibri"/>
        </w:rPr>
      </w:pPr>
      <w:r>
        <w:rPr>
          <w:rFonts w:ascii="Calibri" w:eastAsia="Calibri" w:hAnsi="Calibri" w:cs="Calibri"/>
        </w:rPr>
        <w:t xml:space="preserve">The patient’s plasma which may have IgM, IgG, or both is allowed to bind to this antigen. </w:t>
      </w:r>
    </w:p>
    <w:p w14:paraId="14A6A08E" w14:textId="77777777" w:rsidR="00555EC6" w:rsidRDefault="00555EC6">
      <w:pPr>
        <w:rPr>
          <w:rFonts w:ascii="Calibri" w:eastAsia="Calibri" w:hAnsi="Calibri" w:cs="Calibri"/>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5EC6" w14:paraId="1097C6CF" w14:textId="77777777">
        <w:tc>
          <w:tcPr>
            <w:tcW w:w="4680" w:type="dxa"/>
            <w:shd w:val="clear" w:color="auto" w:fill="auto"/>
            <w:tcMar>
              <w:top w:w="100" w:type="dxa"/>
              <w:left w:w="100" w:type="dxa"/>
              <w:bottom w:w="100" w:type="dxa"/>
              <w:right w:w="100" w:type="dxa"/>
            </w:tcMar>
          </w:tcPr>
          <w:p w14:paraId="576A20C1" w14:textId="77777777" w:rsidR="00555EC6" w:rsidRDefault="00BE45E0">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E374FA0" wp14:editId="0AF69EDF">
                  <wp:extent cx="2838450" cy="1854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38450" cy="18542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D777CA8" w14:textId="3F42071A" w:rsidR="00555EC6" w:rsidRDefault="00BE45E0">
            <w:pPr>
              <w:widowControl w:val="0"/>
              <w:spacing w:line="240" w:lineRule="auto"/>
              <w:rPr>
                <w:rFonts w:ascii="Calibri" w:eastAsia="Calibri" w:hAnsi="Calibri" w:cs="Calibri"/>
              </w:rPr>
            </w:pPr>
            <w:proofErr w:type="spellStart"/>
            <w:r>
              <w:rPr>
                <w:rFonts w:ascii="Calibri" w:eastAsia="Calibri" w:hAnsi="Calibri" w:cs="Calibri"/>
              </w:rPr>
              <w:t>IgGs</w:t>
            </w:r>
            <w:proofErr w:type="spellEnd"/>
            <w:r>
              <w:rPr>
                <w:rFonts w:ascii="Calibri" w:eastAsia="Calibri" w:hAnsi="Calibri" w:cs="Calibri"/>
              </w:rPr>
              <w:t xml:space="preserve"> are made of four protein chains </w:t>
            </w:r>
            <w:r>
              <w:rPr>
                <w:rFonts w:ascii="Calibri" w:eastAsia="Calibri" w:hAnsi="Calibri" w:cs="Calibri"/>
              </w:rPr>
              <w:t xml:space="preserve">- 2 heavy (orange and magenta) and 2 light chains (green and purple) in the figure below from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1igt</w:t>
            </w:r>
            <w:proofErr w:type="spellEnd"/>
            <w:r>
              <w:rPr>
                <w:rFonts w:ascii="Calibri" w:eastAsia="Calibri" w:hAnsi="Calibri" w:cs="Calibri"/>
              </w:rPr>
              <w:t xml:space="preserve">. </w:t>
            </w:r>
          </w:p>
          <w:p w14:paraId="0BF60C21" w14:textId="77777777" w:rsidR="00555EC6" w:rsidRDefault="00555EC6">
            <w:pPr>
              <w:widowControl w:val="0"/>
              <w:spacing w:line="240" w:lineRule="auto"/>
              <w:rPr>
                <w:rFonts w:ascii="Calibri" w:eastAsia="Calibri" w:hAnsi="Calibri" w:cs="Calibri"/>
              </w:rPr>
            </w:pPr>
          </w:p>
          <w:p w14:paraId="793C1252" w14:textId="77777777" w:rsidR="00555EC6" w:rsidRDefault="00BE45E0">
            <w:pPr>
              <w:widowControl w:val="0"/>
              <w:spacing w:line="240" w:lineRule="auto"/>
              <w:rPr>
                <w:rFonts w:ascii="Calibri" w:eastAsia="Calibri" w:hAnsi="Calibri" w:cs="Calibri"/>
              </w:rPr>
            </w:pPr>
            <w:r>
              <w:rPr>
                <w:rFonts w:ascii="Calibri" w:eastAsia="Calibri" w:hAnsi="Calibri" w:cs="Calibri"/>
              </w:rPr>
              <w:t xml:space="preserve">The antigen binding region is variable, while Fc region is considered very </w:t>
            </w:r>
          </w:p>
        </w:tc>
      </w:tr>
      <w:tr w:rsidR="00555EC6" w14:paraId="0E9096FE" w14:textId="77777777">
        <w:tc>
          <w:tcPr>
            <w:tcW w:w="4680" w:type="dxa"/>
            <w:shd w:val="clear" w:color="auto" w:fill="auto"/>
            <w:tcMar>
              <w:top w:w="100" w:type="dxa"/>
              <w:left w:w="100" w:type="dxa"/>
              <w:bottom w:w="100" w:type="dxa"/>
              <w:right w:w="100" w:type="dxa"/>
            </w:tcMar>
          </w:tcPr>
          <w:p w14:paraId="29B29FC9" w14:textId="77777777" w:rsidR="00555EC6" w:rsidRDefault="00BE45E0">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2397A26" wp14:editId="620FD2ED">
                  <wp:extent cx="2838450" cy="2362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838450" cy="23622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4A8986B" w14:textId="77777777" w:rsidR="00555EC6" w:rsidRDefault="00BE45E0">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IgMs</w:t>
            </w:r>
            <w:proofErr w:type="spellEnd"/>
            <w:r>
              <w:rPr>
                <w:rFonts w:ascii="Calibri" w:eastAsia="Calibri" w:hAnsi="Calibri" w:cs="Calibri"/>
              </w:rPr>
              <w:t xml:space="preserve"> have a more complex structure than IgG - they are pentameric, and the Y shaped structures are joined together by another protein called the J protein. The structure of IgM heavy chains from the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6kxs</w:t>
            </w:r>
            <w:proofErr w:type="spellEnd"/>
            <w:r>
              <w:rPr>
                <w:rFonts w:ascii="Calibri" w:eastAsia="Calibri" w:hAnsi="Calibri" w:cs="Calibri"/>
              </w:rPr>
              <w:t xml:space="preserve"> is shown here. </w:t>
            </w:r>
          </w:p>
          <w:p w14:paraId="12EC15C5" w14:textId="77777777" w:rsidR="00555EC6" w:rsidRDefault="00555EC6">
            <w:pPr>
              <w:widowControl w:val="0"/>
              <w:pBdr>
                <w:top w:val="nil"/>
                <w:left w:val="nil"/>
                <w:bottom w:val="nil"/>
                <w:right w:val="nil"/>
                <w:between w:val="nil"/>
              </w:pBdr>
              <w:spacing w:line="240" w:lineRule="auto"/>
              <w:rPr>
                <w:rFonts w:ascii="Calibri" w:eastAsia="Calibri" w:hAnsi="Calibri" w:cs="Calibri"/>
              </w:rPr>
            </w:pPr>
          </w:p>
          <w:p w14:paraId="060BD254" w14:textId="77777777" w:rsidR="00555EC6" w:rsidRDefault="00BE45E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antigen binding sites ar</w:t>
            </w:r>
            <w:r>
              <w:rPr>
                <w:rFonts w:ascii="Calibri" w:eastAsia="Calibri" w:hAnsi="Calibri" w:cs="Calibri"/>
              </w:rPr>
              <w:t xml:space="preserve">e at the periphery. The J chain and an Ig receptor protein are shown with molecular surfaces. </w:t>
            </w:r>
          </w:p>
        </w:tc>
      </w:tr>
    </w:tbl>
    <w:p w14:paraId="5BFD43C5" w14:textId="77777777" w:rsidR="00555EC6" w:rsidRDefault="00555EC6">
      <w:pPr>
        <w:rPr>
          <w:rFonts w:ascii="Calibri" w:eastAsia="Calibri" w:hAnsi="Calibri" w:cs="Calibri"/>
        </w:rPr>
      </w:pPr>
    </w:p>
    <w:p w14:paraId="1E1DD0EF" w14:textId="1C3BDAB5" w:rsidR="00555EC6" w:rsidRDefault="00BE45E0">
      <w:pPr>
        <w:numPr>
          <w:ilvl w:val="0"/>
          <w:numId w:val="4"/>
        </w:numPr>
        <w:rPr>
          <w:rFonts w:ascii="Calibri" w:eastAsia="Calibri" w:hAnsi="Calibri" w:cs="Calibri"/>
        </w:rPr>
      </w:pPr>
      <w:r>
        <w:rPr>
          <w:rFonts w:ascii="Calibri" w:eastAsia="Calibri" w:hAnsi="Calibri" w:cs="Calibri"/>
        </w:rPr>
        <w:t>Secondary antibodies (</w:t>
      </w:r>
      <w:r>
        <w:rPr>
          <w:rFonts w:ascii="Calibri" w:eastAsia="Calibri" w:hAnsi="Calibri" w:cs="Calibri"/>
        </w:rPr>
        <w:t xml:space="preserve">anti-Immunoglobulin antibodies) are used to bind and recognize any antibodies in the patient plasma that bind to the Antigen. </w:t>
      </w:r>
    </w:p>
    <w:p w14:paraId="78E517AB" w14:textId="77777777" w:rsidR="00555EC6" w:rsidRDefault="00BE45E0">
      <w:pPr>
        <w:numPr>
          <w:ilvl w:val="0"/>
          <w:numId w:val="4"/>
        </w:numPr>
        <w:rPr>
          <w:rFonts w:ascii="Calibri" w:eastAsia="Calibri" w:hAnsi="Calibri" w:cs="Calibri"/>
        </w:rPr>
      </w:pPr>
      <w:r>
        <w:rPr>
          <w:rFonts w:ascii="Calibri" w:eastAsia="Calibri" w:hAnsi="Calibri" w:cs="Calibri"/>
        </w:rPr>
        <w:t>The secondary antibodies are bound to enzymes such as horseradish peroxidase. A positive signal is detecte</w:t>
      </w:r>
      <w:r>
        <w:rPr>
          <w:rFonts w:ascii="Calibri" w:eastAsia="Calibri" w:hAnsi="Calibri" w:cs="Calibri"/>
        </w:rPr>
        <w:t xml:space="preserve">d by this enzyme’s color reaction.   </w:t>
      </w:r>
    </w:p>
    <w:p w14:paraId="07C9F9D4" w14:textId="77777777" w:rsidR="00555EC6" w:rsidRDefault="00BE45E0">
      <w:pPr>
        <w:pStyle w:val="Heading3"/>
        <w:rPr>
          <w:rFonts w:ascii="Calibri" w:eastAsia="Calibri" w:hAnsi="Calibri" w:cs="Calibri"/>
        </w:rPr>
      </w:pPr>
      <w:bookmarkStart w:id="12" w:name="_2ij3uny9yo4v" w:colFirst="0" w:colLast="0"/>
      <w:bookmarkEnd w:id="12"/>
      <w:proofErr w:type="spellStart"/>
      <w:r>
        <w:lastRenderedPageBreak/>
        <w:t>B1</w:t>
      </w:r>
      <w:proofErr w:type="spellEnd"/>
      <w:r>
        <w:t>. What would the secondary antibodies look like? What would they recognize?</w:t>
      </w:r>
    </w:p>
    <w:p w14:paraId="6A81F37C" w14:textId="77777777" w:rsidR="00555EC6" w:rsidRDefault="00BE45E0">
      <w:r>
        <w:rPr>
          <w:color w:val="0000FF"/>
        </w:rPr>
        <w:t xml:space="preserve"> </w:t>
      </w:r>
      <w:r>
        <w:pict w14:anchorId="141BC71C">
          <v:rect id="_x0000_i1028" style="width:0;height:1.5pt" o:hralign="center" o:hrstd="t" o:hr="t" fillcolor="#a0a0a0" stroked="f"/>
        </w:pict>
      </w:r>
    </w:p>
    <w:p w14:paraId="1666C21A" w14:textId="77777777" w:rsidR="00555EC6" w:rsidRDefault="00555EC6"/>
    <w:p w14:paraId="0CA242D3" w14:textId="3E333EDF" w:rsidR="004F11BE" w:rsidRDefault="004F11BE">
      <w:pPr>
        <w:rPr>
          <w:color w:val="434343"/>
          <w:sz w:val="28"/>
          <w:szCs w:val="28"/>
        </w:rPr>
      </w:pPr>
      <w:bookmarkStart w:id="13" w:name="_cw98c6uectp0" w:colFirst="0" w:colLast="0"/>
      <w:bookmarkEnd w:id="13"/>
    </w:p>
    <w:p w14:paraId="7F31220E" w14:textId="116C8E78" w:rsidR="00555EC6" w:rsidRDefault="00BE45E0">
      <w:pPr>
        <w:pStyle w:val="Heading3"/>
      </w:pPr>
      <w:proofErr w:type="spellStart"/>
      <w:r>
        <w:t>B2</w:t>
      </w:r>
      <w:proofErr w:type="spellEnd"/>
      <w:r>
        <w:t xml:space="preserve">. How many kinds of secondary antibodies are needed for the COVID-19 </w:t>
      </w:r>
      <w:proofErr w:type="spellStart"/>
      <w:r>
        <w:t>ELISAs</w:t>
      </w:r>
      <w:proofErr w:type="spellEnd"/>
      <w:r>
        <w:t xml:space="preserve">? Explain your answer. </w:t>
      </w:r>
    </w:p>
    <w:p w14:paraId="1AF45F49" w14:textId="77777777" w:rsidR="00555EC6" w:rsidRDefault="00555EC6">
      <w:pPr>
        <w:rPr>
          <w:rFonts w:ascii="Calibri" w:eastAsia="Calibri" w:hAnsi="Calibri" w:cs="Calibri"/>
        </w:rPr>
      </w:pPr>
    </w:p>
    <w:p w14:paraId="2BF83216" w14:textId="77777777" w:rsidR="00555EC6" w:rsidRDefault="00BE45E0">
      <w:r>
        <w:rPr>
          <w:color w:val="0000FF"/>
        </w:rPr>
        <w:t xml:space="preserve"> </w:t>
      </w:r>
      <w:r>
        <w:pict w14:anchorId="08B23E10">
          <v:rect id="_x0000_i1029" style="width:0;height:1.5pt" o:hralign="center" o:hrstd="t" o:hr="t" fillcolor="#a0a0a0" stroked="f"/>
        </w:pict>
      </w:r>
    </w:p>
    <w:p w14:paraId="6BA6432A" w14:textId="77777777" w:rsidR="00555EC6" w:rsidRDefault="00555EC6"/>
    <w:p w14:paraId="646BA5E8" w14:textId="77777777" w:rsidR="00555EC6" w:rsidRDefault="00555EC6"/>
    <w:sectPr w:rsidR="00555EC6">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F4052" w14:textId="77777777" w:rsidR="00BE45E0" w:rsidRDefault="00BE45E0">
      <w:pPr>
        <w:spacing w:line="240" w:lineRule="auto"/>
      </w:pPr>
      <w:r>
        <w:separator/>
      </w:r>
    </w:p>
  </w:endnote>
  <w:endnote w:type="continuationSeparator" w:id="0">
    <w:p w14:paraId="3ED56AC5" w14:textId="77777777" w:rsidR="00BE45E0" w:rsidRDefault="00BE4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3CEB" w14:textId="77777777" w:rsidR="00555EC6" w:rsidRDefault="00BE45E0">
    <w:pPr>
      <w:tabs>
        <w:tab w:val="center" w:pos="4320"/>
        <w:tab w:val="right" w:pos="8640"/>
      </w:tabs>
      <w:jc w:val="center"/>
    </w:pPr>
    <w:r>
      <w:rPr>
        <w:noProof/>
      </w:rPr>
      <w:drawing>
        <wp:inline distT="114300" distB="114300" distL="114300" distR="114300" wp14:anchorId="6C8544DC" wp14:editId="4FAF9C63">
          <wp:extent cx="880110" cy="228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0110" cy="228600"/>
                  </a:xfrm>
                  <a:prstGeom prst="rect">
                    <a:avLst/>
                  </a:prstGeom>
                  <a:ln/>
                </pic:spPr>
              </pic:pic>
            </a:graphicData>
          </a:graphic>
        </wp:inline>
      </w:drawing>
    </w:r>
  </w:p>
  <w:p w14:paraId="6934C24F" w14:textId="77777777" w:rsidR="00555EC6" w:rsidRDefault="00BE45E0">
    <w:pPr>
      <w:tabs>
        <w:tab w:val="center" w:pos="4320"/>
        <w:tab w:val="right" w:pos="8640"/>
      </w:tabs>
      <w:jc w:val="center"/>
    </w:pPr>
    <w:r>
      <w:rPr>
        <w:rFonts w:ascii="Cambria" w:eastAsia="Cambria" w:hAnsi="Cambria" w:cs="Cambria"/>
        <w:color w:val="578BBA"/>
        <w:sz w:val="20"/>
        <w:szCs w:val="20"/>
      </w:rPr>
      <w:t>Collaborative Curriculum Development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D4709" w14:textId="77777777" w:rsidR="00BE45E0" w:rsidRDefault="00BE45E0">
      <w:pPr>
        <w:spacing w:line="240" w:lineRule="auto"/>
      </w:pPr>
      <w:r>
        <w:separator/>
      </w:r>
    </w:p>
  </w:footnote>
  <w:footnote w:type="continuationSeparator" w:id="0">
    <w:p w14:paraId="79E96B01" w14:textId="77777777" w:rsidR="00BE45E0" w:rsidRDefault="00BE45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9EFA" w14:textId="77777777" w:rsidR="00555EC6" w:rsidRDefault="00555EC6">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C1108"/>
    <w:multiLevelType w:val="multilevel"/>
    <w:tmpl w:val="3690B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B345F"/>
    <w:multiLevelType w:val="multilevel"/>
    <w:tmpl w:val="CCD23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2328A6"/>
    <w:multiLevelType w:val="multilevel"/>
    <w:tmpl w:val="65CCB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E345F4"/>
    <w:multiLevelType w:val="multilevel"/>
    <w:tmpl w:val="BC1ACD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704A36"/>
    <w:multiLevelType w:val="multilevel"/>
    <w:tmpl w:val="60ECB0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F5610F5"/>
    <w:multiLevelType w:val="multilevel"/>
    <w:tmpl w:val="850217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9210BF"/>
    <w:multiLevelType w:val="multilevel"/>
    <w:tmpl w:val="65FC05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EC6"/>
    <w:rsid w:val="004F11BE"/>
    <w:rsid w:val="00555EC6"/>
    <w:rsid w:val="00BE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654D5"/>
  <w15:docId w15:val="{C16CE308-85C8-4CDF-91B0-298B2175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rcsb.org/structure/4mh8"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iprot.org/uniprot/P1982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csb.org/structure/1ta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uniprot.org/uniprot/P03355"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715</Words>
  <Characters>4082</Characters>
  <Application>Microsoft Office Word</Application>
  <DocSecurity>0</DocSecurity>
  <Lines>34</Lines>
  <Paragraphs>9</Paragraphs>
  <ScaleCrop>false</ScaleCrop>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 L</cp:lastModifiedBy>
  <cp:revision>2</cp:revision>
  <dcterms:created xsi:type="dcterms:W3CDTF">2020-09-04T17:45:00Z</dcterms:created>
  <dcterms:modified xsi:type="dcterms:W3CDTF">2020-09-04T17:52:00Z</dcterms:modified>
</cp:coreProperties>
</file>